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64376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</w:t>
      </w: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                    </w:t>
      </w:r>
    </w:p>
    <w:p w14:paraId="0C4CAB67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6F9A5B4E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28口全千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兆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以太网安防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11FD3D86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-H3028F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-71755</wp:posOffset>
            </wp:positionV>
            <wp:extent cx="5266690" cy="3511550"/>
            <wp:effectExtent l="0" t="0" r="0" b="0"/>
            <wp:wrapNone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B</w:t>
      </w:r>
    </w:p>
    <w:p w14:paraId="45D1A4AE">
      <w:pPr>
        <w:pStyle w:val="10"/>
        <w:spacing w:line="240" w:lineRule="auto"/>
        <w:rPr>
          <w:rFonts w:hint="eastAsia" w:ascii="微软雅黑" w:hAnsi="微软雅黑" w:eastAsia="微软雅黑"/>
          <w:color w:val="000000"/>
          <w:shd w:val="clear" w:color="auto" w:fill="FFFFFF"/>
          <w:lang w:eastAsia="zh-CN"/>
        </w:rPr>
      </w:pPr>
    </w:p>
    <w:p w14:paraId="16644478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43FBDAF3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733151A9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75533F4E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2BAB4F5F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628834EB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257D3CEA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0614A27F">
      <w:pPr>
        <w:pStyle w:val="10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-H3028FB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系列是ONV自主研发的非网管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全千兆以太网安防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机，具备24个千兆自适应电口+4个千兆SFP上联光纤插槽。光电组合接口，客户可以不受传输介质影响，实现网络的便捷连接与扩展。优选大背板、大缓存交换芯片方案，提高大文件转发速率，并能有效解决高清监控环境中视频卡顿、画面丢失等问题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适合酒店、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银行、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校园、厂区宿舍及中小型企业组建经济高效的网络。</w:t>
      </w:r>
    </w:p>
    <w:p w14:paraId="0C8C2B8C">
      <w:pPr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非网管机型，即插即用，无需配置，使用简单方便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。</w:t>
      </w:r>
    </w:p>
    <w:p w14:paraId="6158DC29">
      <w:pPr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</w:pPr>
    </w:p>
    <w:p w14:paraId="599DA5C2">
      <w:pPr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</w:pPr>
    </w:p>
    <w:p w14:paraId="2462DF96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4B1E4688">
      <w:pPr>
        <w:pStyle w:val="10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09DCE462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  <w:lang w:val="en-US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全千兆速率，高速传输</w:t>
      </w:r>
    </w:p>
    <w:p w14:paraId="0390FED7">
      <w:pPr>
        <w:pStyle w:val="10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val="en-US" w:eastAsia="zh-CN"/>
        </w:rPr>
        <w:t>千</w:t>
      </w:r>
      <w:r>
        <w:rPr>
          <w:rFonts w:hint="eastAsia" w:ascii="宋体" w:hAnsi="宋体"/>
          <w:szCs w:val="21"/>
        </w:rPr>
        <w:t>兆以太网口+千兆光口”组合，方便用户灵活组网，满足各种场景组网需求；</w:t>
      </w:r>
    </w:p>
    <w:p w14:paraId="23411DFC">
      <w:pPr>
        <w:pStyle w:val="10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1B42817B">
      <w:pPr>
        <w:pStyle w:val="10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218EF645">
      <w:pPr>
        <w:pStyle w:val="10"/>
        <w:spacing w:line="20" w:lineRule="atLeast"/>
        <w:ind w:left="0" w:leftChars="0" w:firstLine="0" w:firstLineChars="0"/>
        <w:rPr>
          <w:rFonts w:ascii="宋体" w:hAnsi="宋体"/>
          <w:szCs w:val="21"/>
        </w:rPr>
      </w:pPr>
    </w:p>
    <w:p w14:paraId="295D5AA4">
      <w:pPr>
        <w:pStyle w:val="10"/>
        <w:spacing w:line="20" w:lineRule="atLeast"/>
        <w:ind w:left="360" w:firstLine="0" w:firstLineChars="0"/>
        <w:rPr>
          <w:rFonts w:ascii="宋体" w:hAnsi="宋体"/>
          <w:szCs w:val="21"/>
        </w:rPr>
      </w:pPr>
    </w:p>
    <w:p w14:paraId="3DA4BC7B">
      <w:pPr>
        <w:pStyle w:val="10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3A5AC3F5">
      <w:pPr>
        <w:spacing w:line="360" w:lineRule="auto"/>
        <w:rPr>
          <w:rFonts w:ascii="宋体" w:hAnsi="宋体"/>
          <w:szCs w:val="21"/>
        </w:rPr>
      </w:pPr>
      <w:bookmarkStart w:id="0" w:name="OLE_LINK1"/>
      <w:bookmarkStart w:id="1" w:name="OLE_LINK2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主机低功耗、</w:t>
      </w:r>
      <w:r>
        <w:rPr>
          <w:rFonts w:hint="eastAsia" w:ascii="宋体" w:hAnsi="宋体"/>
          <w:szCs w:val="21"/>
          <w:lang w:val="en-US" w:eastAsia="zh-CN"/>
        </w:rPr>
        <w:t>主动风扇散热</w:t>
      </w:r>
      <w:r>
        <w:rPr>
          <w:rFonts w:hint="eastAsia" w:ascii="宋体" w:hAnsi="宋体"/>
          <w:szCs w:val="21"/>
        </w:rPr>
        <w:t>设计，金属外壳，保证产品稳定运行。</w:t>
      </w:r>
    </w:p>
    <w:p w14:paraId="2BE1797F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采用ONV自主研发的电源，高冗余设计，提供长久稳定电力输出。</w:t>
      </w:r>
    </w:p>
    <w:p w14:paraId="5B0AEA0A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</w:t>
      </w:r>
      <w:r>
        <w:rPr>
          <w:rFonts w:hint="eastAsia" w:ascii="宋体" w:hAnsi="宋体"/>
          <w:szCs w:val="21"/>
          <w:lang w:val="en-US" w:eastAsia="zh-CN"/>
        </w:rPr>
        <w:t>Q</w:t>
      </w:r>
      <w:r>
        <w:rPr>
          <w:rFonts w:hint="eastAsia" w:ascii="宋体" w:hAnsi="宋体"/>
          <w:szCs w:val="21"/>
        </w:rPr>
        <w:t>C标准，完全符合CE、FCC、RoHS安规要求，使用安全可靠。</w:t>
      </w:r>
    </w:p>
    <w:p w14:paraId="5101694A">
      <w:pPr>
        <w:spacing w:line="360" w:lineRule="auto"/>
        <w:rPr>
          <w:rFonts w:hint="eastAsia" w:ascii="宋体" w:hAnsi="宋体"/>
          <w:szCs w:val="21"/>
        </w:rPr>
      </w:pPr>
    </w:p>
    <w:p w14:paraId="22AFBC18">
      <w:pPr>
        <w:pStyle w:val="10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0230AF9E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即插即用，无需配置，简单方便。</w:t>
      </w:r>
    </w:p>
    <w:p w14:paraId="7DA3A7F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用户可通过电源指示灯(PWR)、端口状态指示灯（Link/Act）轻松了解设备工作状态。</w:t>
      </w:r>
    </w:p>
    <w:p w14:paraId="65E34654">
      <w:pPr>
        <w:spacing w:line="360" w:lineRule="auto"/>
        <w:rPr>
          <w:rFonts w:hint="eastAsia" w:ascii="宋体" w:hAnsi="宋体"/>
          <w:szCs w:val="21"/>
        </w:rPr>
      </w:pPr>
    </w:p>
    <w:p w14:paraId="14566DE2">
      <w:pPr>
        <w:spacing w:line="360" w:lineRule="auto"/>
        <w:rPr>
          <w:rFonts w:ascii="宋体" w:hAnsi="宋体"/>
          <w:szCs w:val="21"/>
        </w:rPr>
      </w:pPr>
    </w:p>
    <w:p w14:paraId="43F85710">
      <w:pPr>
        <w:pStyle w:val="10"/>
        <w:spacing w:before="100" w:beforeAutospacing="1" w:after="100" w:afterAutospacing="1" w:line="20" w:lineRule="atLeast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6"/>
        <w:tblW w:w="8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7310"/>
      </w:tblGrid>
      <w:tr w14:paraId="479C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1A7C04EC">
            <w:pPr>
              <w:widowControl/>
              <w:jc w:val="center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ascii="Arial" w:hAnsi="宋体" w:cs="Arial"/>
                <w:b/>
                <w:kern w:val="0"/>
                <w:sz w:val="22"/>
                <w:szCs w:val="24"/>
              </w:rPr>
              <w:t>型号</w:t>
            </w:r>
          </w:p>
        </w:tc>
        <w:tc>
          <w:tcPr>
            <w:tcW w:w="7310" w:type="dxa"/>
            <w:shd w:val="clear" w:color="000000" w:fill="DEEAF6" w:themeFill="accent1" w:themeFillTint="33"/>
            <w:vAlign w:val="center"/>
          </w:tcPr>
          <w:p w14:paraId="6805E650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 w:val="22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 w:val="22"/>
                <w:szCs w:val="24"/>
                <w:lang w:val="en-US" w:eastAsia="zh-CN"/>
              </w:rPr>
              <w:t>ONV-H3028FB</w:t>
            </w:r>
          </w:p>
        </w:tc>
      </w:tr>
      <w:tr w14:paraId="6DB9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7678E4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68DB128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Base-TX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口（Data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71A2365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4个1000Base-X SFP上联光口插槽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 w14:paraId="49D4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10D54D0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33445092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143425CF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3B4348AA">
            <w:pPr>
              <w:pStyle w:val="11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1444207D">
            <w:pPr>
              <w:pStyle w:val="11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2A504FE0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656C2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46C5D19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43F448F0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</w:p>
          <w:p w14:paraId="3D94ADFF">
            <w:pPr>
              <w:pStyle w:val="11"/>
              <w:rPr>
                <w:rFonts w:hint="eastAsia"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</w:tc>
      </w:tr>
      <w:tr w14:paraId="2944B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7C2B3E2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51EC150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光纤接口，默认不配套光模块，需要另购，（可选订单模/多模、单纤/双纤光模块，LC）</w:t>
            </w:r>
          </w:p>
        </w:tc>
      </w:tr>
      <w:tr w14:paraId="1C0AF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1346A20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57FAC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0A952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7B46C73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805144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2E70A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072EA06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2C6765F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41.66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10C18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15136CF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73273C7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123B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7A9CCC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3560994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</w:p>
        </w:tc>
      </w:tr>
      <w:tr w14:paraId="57E2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7C3C8F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49CC3644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 ： 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73767A1F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100BASE-TX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Cat5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6BA02181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BASE-T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492E7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1E4463F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13E50FF0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43570965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</w:p>
        </w:tc>
      </w:tr>
      <w:tr w14:paraId="2472B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5C3B839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621C21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 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AC100-240V，50-60Hz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3072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610F47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394D4AD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0C0FD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4832B00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41B1F3B9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PWR(绿色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数据指示灯：</w:t>
            </w:r>
            <w:r>
              <w:rPr>
                <w:rFonts w:hAnsi="宋体"/>
                <w:sz w:val="18"/>
                <w:szCs w:val="18"/>
              </w:rPr>
              <w:t>Link/Act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</w:t>
            </w:r>
          </w:p>
        </w:tc>
      </w:tr>
      <w:tr w14:paraId="4A604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75F2563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753728D2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内置开关电源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0.56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3EF50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00162A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683358E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6822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32438ED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441DB92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-40～+75°C；5%～95% RH无凝结</w:t>
            </w:r>
          </w:p>
        </w:tc>
      </w:tr>
      <w:tr w14:paraId="65804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2332C56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310" w:type="dxa"/>
            <w:shd w:val="clear" w:color="000000" w:fill="FFFFFF"/>
            <w:vAlign w:val="center"/>
          </w:tcPr>
          <w:p w14:paraId="721A47F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330*204*44mm</w:t>
            </w:r>
          </w:p>
        </w:tc>
      </w:tr>
      <w:tr w14:paraId="7181D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0ED3A26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44D088B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1.15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1.55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220B6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482FE9B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安装方式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50A1EA3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桌面式、壁挂式、19寸机柜式安装</w:t>
            </w:r>
          </w:p>
        </w:tc>
      </w:tr>
      <w:tr w14:paraId="4EE48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5910EBD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45FA1D3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端口防雷：4KV 8/20us；</w:t>
            </w:r>
          </w:p>
          <w:p w14:paraId="751D4A1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089A7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364040F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0D4307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3C；</w:t>
            </w:r>
          </w:p>
          <w:p w14:paraId="20772AF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1F476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24" w:type="dxa"/>
            <w:shd w:val="clear" w:color="000000" w:fill="DEEAF6" w:themeFill="accent1" w:themeFillTint="33"/>
            <w:vAlign w:val="center"/>
          </w:tcPr>
          <w:p w14:paraId="7B463537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310" w:type="dxa"/>
            <w:shd w:val="clear" w:color="auto" w:fill="auto"/>
            <w:vAlign w:val="center"/>
          </w:tcPr>
          <w:p w14:paraId="2243A2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交换机1年，终身维护</w:t>
            </w:r>
          </w:p>
        </w:tc>
      </w:tr>
    </w:tbl>
    <w:p w14:paraId="4616A576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49A9D738">
      <w:pPr>
        <w:pStyle w:val="2"/>
        <w:spacing w:before="83"/>
        <w:rPr>
          <w:rFonts w:hint="eastAsia" w:asciiTheme="minorEastAsia" w:hAnsiTheme="minorEastAsia" w:eastAsiaTheme="minorEastAsia" w:cstheme="minorEastAsia"/>
          <w:sz w:val="20"/>
          <w:szCs w:val="20"/>
        </w:rPr>
      </w:pPr>
    </w:p>
    <w:p w14:paraId="6D439467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16FC791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500EBE9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E9DD107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0E555025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174B1F68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6560EE76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</w:t>
      </w:r>
      <w:r>
        <w:rPr>
          <w:rFonts w:hint="eastAsia" w:ascii="宋体" w:hAnsi="宋体"/>
          <w:b/>
          <w:color w:val="ED7D31" w:themeColor="accent2"/>
          <w:sz w:val="32"/>
          <w:szCs w:val="32"/>
          <w:lang w:val="en-US" w:eastAsia="zh-CN"/>
          <w14:textFill>
            <w14:solidFill>
              <w14:schemeClr w14:val="accent2"/>
            </w14:solidFill>
          </w14:textFill>
        </w:rPr>
        <w:t>链接拓扑</w:t>
      </w:r>
    </w:p>
    <w:p w14:paraId="7CFF1A59">
      <w:pPr>
        <w:pStyle w:val="10"/>
        <w:spacing w:before="100" w:beforeAutospacing="1" w:after="100" w:afterAutospacing="1"/>
        <w:ind w:firstLine="0" w:firstLineChars="0"/>
        <w:outlineLvl w:val="1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634A1F94">
      <w:pPr>
        <w:rPr>
          <w:rFonts w:hint="eastAsia"/>
          <w:b/>
          <w:bCs/>
          <w:color w:val="ED7D31" w:themeColor="accent2"/>
          <w:sz w:val="32"/>
          <w:szCs w:val="36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:lang w:val="en-US" w:eastAsia="zh-CN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6"/>
        <w:tblpPr w:leftFromText="180" w:rightFromText="180" w:vertAnchor="text" w:horzAnchor="margin" w:tblpXSpec="center" w:tblpY="358"/>
        <w:tblW w:w="89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111"/>
        <w:gridCol w:w="709"/>
        <w:gridCol w:w="709"/>
      </w:tblGrid>
      <w:tr w14:paraId="498E3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4EBBBE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6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0C02D18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63FCE12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AB2586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3438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EB88290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6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E6E2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28口全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千兆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以太网安防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320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87B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1997D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BC50142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CDAB9E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F38DA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8282C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根</w:t>
            </w:r>
          </w:p>
        </w:tc>
      </w:tr>
      <w:tr w14:paraId="6ACE4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5AEE331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EDEA5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FF5F0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07FAF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对</w:t>
            </w:r>
          </w:p>
        </w:tc>
      </w:tr>
      <w:tr w14:paraId="2A0EA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4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3EFD956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8E9227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25DAD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F589D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6054E47D">
      <w:pPr>
        <w:pStyle w:val="10"/>
        <w:spacing w:before="100" w:beforeAutospacing="1" w:after="100" w:afterAutospacing="1"/>
        <w:ind w:firstLine="0" w:firstLineChars="0"/>
        <w:rPr>
          <w:rFonts w:hint="eastAsia" w:ascii="宋体" w:hAnsi="宋体"/>
          <w:b/>
          <w:color w:val="548235" w:themeColor="accent6" w:themeShade="BF"/>
          <w:sz w:val="32"/>
          <w:szCs w:val="32"/>
        </w:rPr>
      </w:pPr>
    </w:p>
    <w:p w14:paraId="50C783D6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6"/>
        <w:tblW w:w="89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5458"/>
        <w:gridCol w:w="1605"/>
      </w:tblGrid>
      <w:tr w14:paraId="44BAE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EA0AD41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bookmarkStart w:id="2" w:name="OLE_LINK6"/>
            <w:bookmarkStart w:id="3" w:name="OLE_LINK7"/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45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7709115A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2933E087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标配电源功率</w:t>
            </w:r>
          </w:p>
        </w:tc>
      </w:tr>
      <w:tr w14:paraId="5B578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AC3F13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-H3028FB</w:t>
            </w:r>
            <w:bookmarkStart w:id="4" w:name="_GoBack"/>
            <w:bookmarkEnd w:id="4"/>
          </w:p>
        </w:tc>
        <w:tc>
          <w:tcPr>
            <w:tcW w:w="54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8FC66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非网管24个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1000M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SFP光纤插槽，以太网安防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0W电源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兼容1U 19寸机柜安装。</w:t>
            </w:r>
          </w:p>
        </w:tc>
        <w:tc>
          <w:tcPr>
            <w:tcW w:w="1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12D355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30W</w:t>
            </w:r>
          </w:p>
        </w:tc>
      </w:tr>
      <w:bookmarkEnd w:id="2"/>
      <w:bookmarkEnd w:id="3"/>
    </w:tbl>
    <w:p w14:paraId="7B1D211B">
      <w:pPr>
        <w:pStyle w:val="10"/>
        <w:spacing w:beforeLines="50" w:afterLines="50"/>
        <w:ind w:firstLine="0" w:firstLineChars="0"/>
        <w:rPr>
          <w:rFonts w:hint="eastAsia" w:ascii="宋体" w:hAnsi="宋体"/>
        </w:rPr>
      </w:pPr>
    </w:p>
    <w:p w14:paraId="23A545F0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1F9DF43D">
      <w:pPr>
        <w:rPr>
          <w:rFonts w:hint="eastAsia" w:eastAsia="宋体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tbl>
      <w:tblPr>
        <w:tblStyle w:val="7"/>
        <w:tblpPr w:leftFromText="180" w:rightFromText="180" w:vertAnchor="text" w:horzAnchor="margin" w:tblpXSpec="center" w:tblpY="357"/>
        <w:tblW w:w="8967" w:type="dxa"/>
        <w:tblInd w:w="9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740"/>
        <w:gridCol w:w="5633"/>
        <w:gridCol w:w="709"/>
      </w:tblGrid>
      <w:tr w14:paraId="48B97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</w:tcPr>
          <w:p w14:paraId="383837ED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740" w:type="dxa"/>
          </w:tcPr>
          <w:p w14:paraId="24F72F17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633" w:type="dxa"/>
          </w:tcPr>
          <w:p w14:paraId="56C69514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9" w:type="dxa"/>
          </w:tcPr>
          <w:p w14:paraId="555293A0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39ABD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  <w:vMerge w:val="restart"/>
            <w:vAlign w:val="center"/>
          </w:tcPr>
          <w:p w14:paraId="77993AB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740" w:type="dxa"/>
            <w:vAlign w:val="center"/>
          </w:tcPr>
          <w:p w14:paraId="19F865D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ONV-2630-LC</w:t>
            </w:r>
          </w:p>
        </w:tc>
        <w:tc>
          <w:tcPr>
            <w:tcW w:w="5633" w:type="dxa"/>
          </w:tcPr>
          <w:p w14:paraId="01840655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 w14:paraId="2A83631A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3CDF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  <w:vMerge w:val="continue"/>
          </w:tcPr>
          <w:p w14:paraId="018F9B4D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60C6E543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ONV-2632-LC</w:t>
            </w:r>
          </w:p>
        </w:tc>
        <w:tc>
          <w:tcPr>
            <w:tcW w:w="5633" w:type="dxa"/>
          </w:tcPr>
          <w:p w14:paraId="44A053F0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 w14:paraId="5F78D565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639B3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  <w:vMerge w:val="continue"/>
          </w:tcPr>
          <w:p w14:paraId="26E283E6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33C1BC2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ONV-2612-T-LC</w:t>
            </w:r>
          </w:p>
        </w:tc>
        <w:tc>
          <w:tcPr>
            <w:tcW w:w="5633" w:type="dxa"/>
          </w:tcPr>
          <w:p w14:paraId="7387F972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 w14:paraId="3C65F087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2D5C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  <w:vMerge w:val="continue"/>
          </w:tcPr>
          <w:p w14:paraId="68CE781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4BAE06B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ONV-2613-R-LC</w:t>
            </w:r>
          </w:p>
        </w:tc>
        <w:tc>
          <w:tcPr>
            <w:tcW w:w="5633" w:type="dxa"/>
          </w:tcPr>
          <w:p w14:paraId="5D98542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 w14:paraId="6E4A3328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39E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  <w:vMerge w:val="continue"/>
          </w:tcPr>
          <w:p w14:paraId="28B6186B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73EB99F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ONV-2612-T-SC</w:t>
            </w:r>
          </w:p>
        </w:tc>
        <w:tc>
          <w:tcPr>
            <w:tcW w:w="5633" w:type="dxa"/>
            <w:vAlign w:val="top"/>
          </w:tcPr>
          <w:p w14:paraId="22A5C4B0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9" w:type="dxa"/>
            <w:vAlign w:val="center"/>
          </w:tcPr>
          <w:p w14:paraId="606D5FB2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D89A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  <w:vMerge w:val="continue"/>
          </w:tcPr>
          <w:p w14:paraId="0E39B0CB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43F015D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ONV-2613-R-SC</w:t>
            </w:r>
          </w:p>
        </w:tc>
        <w:tc>
          <w:tcPr>
            <w:tcW w:w="5633" w:type="dxa"/>
            <w:vAlign w:val="top"/>
          </w:tcPr>
          <w:p w14:paraId="037F6724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9" w:type="dxa"/>
            <w:vAlign w:val="center"/>
          </w:tcPr>
          <w:p w14:paraId="57530BE6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1C40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</w:tcPr>
          <w:p w14:paraId="245E07FD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740" w:type="dxa"/>
            <w:vAlign w:val="center"/>
          </w:tcPr>
          <w:p w14:paraId="7468699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ONV-SFP/TP</w:t>
            </w:r>
          </w:p>
        </w:tc>
        <w:tc>
          <w:tcPr>
            <w:tcW w:w="5633" w:type="dxa"/>
            <w:vAlign w:val="center"/>
          </w:tcPr>
          <w:p w14:paraId="7159E327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9" w:type="dxa"/>
            <w:vAlign w:val="center"/>
          </w:tcPr>
          <w:p w14:paraId="6854AACB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49F03B62">
      <w:pPr>
        <w:rPr>
          <w:sz w:val="21"/>
          <w:szCs w:val="22"/>
        </w:rPr>
      </w:pPr>
    </w:p>
    <w:p w14:paraId="7B67253E">
      <w:pPr>
        <w:rPr>
          <w:sz w:val="21"/>
          <w:szCs w:val="22"/>
        </w:rPr>
      </w:pPr>
    </w:p>
    <w:p w14:paraId="7E006EF9">
      <w:pPr>
        <w:rPr>
          <w:sz w:val="21"/>
          <w:szCs w:val="22"/>
        </w:rPr>
      </w:pPr>
    </w:p>
    <w:p w14:paraId="69466127">
      <w:pPr>
        <w:pStyle w:val="10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483870</wp:posOffset>
            </wp:positionV>
            <wp:extent cx="600075" cy="228600"/>
            <wp:effectExtent l="0" t="0" r="9525" b="0"/>
            <wp:wrapNone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548235" w:themeColor="accent6" w:themeShade="BF"/>
          <w:sz w:val="40"/>
          <w:szCs w:val="40"/>
        </w:rPr>
        <w:drawing>
          <wp:anchor distT="0" distB="0" distL="0" distR="0" simplePos="0" relativeHeight="251662336" behindDoc="1" locked="0" layoutInCell="1" allowOverlap="0">
            <wp:simplePos x="0" y="0"/>
            <wp:positionH relativeFrom="column">
              <wp:posOffset>3957320</wp:posOffset>
            </wp:positionH>
            <wp:positionV relativeFrom="line">
              <wp:posOffset>474345</wp:posOffset>
            </wp:positionV>
            <wp:extent cx="1628775" cy="1762125"/>
            <wp:effectExtent l="0" t="0" r="9525" b="9525"/>
            <wp:wrapNone/>
            <wp:docPr id="29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 descr="20091171110989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07619470">
      <w:pPr>
        <w:pStyle w:val="10"/>
        <w:spacing w:beforeLines="50" w:afterLines="50"/>
        <w:ind w:firstLine="1054" w:firstLineChars="500"/>
        <w:rPr>
          <w:rFonts w:ascii="宋体" w:hAnsi="宋体"/>
          <w:b/>
          <w:color w:val="548235" w:themeColor="accent6" w:themeShade="BF"/>
          <w:sz w:val="40"/>
          <w:szCs w:val="40"/>
        </w:rPr>
      </w:pPr>
      <w:r>
        <w:rPr>
          <w:rFonts w:hint="eastAsia" w:ascii="宋体" w:hAnsi="宋体"/>
          <w:b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6C75AC82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16609841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384379C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2E96DDCC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址：http://www.onv.com.cn</w:t>
      </w:r>
    </w:p>
    <w:p w14:paraId="2C964644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308E49F8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138DE19B">
      <w:pPr>
        <w:pStyle w:val="12"/>
        <w:rPr>
          <w:rFonts w:hint="eastAsia" w:ascii="宋体" w:hAnsi="宋体" w:eastAsia="宋体"/>
          <w:sz w:val="18"/>
          <w:szCs w:val="18"/>
        </w:rPr>
      </w:pPr>
    </w:p>
    <w:p w14:paraId="3ACE0AA2">
      <w:pPr>
        <w:pStyle w:val="12"/>
        <w:rPr>
          <w:rFonts w:ascii="宋体" w:hAnsi="宋体" w:eastAsia="宋体"/>
          <w:sz w:val="18"/>
          <w:szCs w:val="18"/>
        </w:rPr>
      </w:pPr>
    </w:p>
    <w:p w14:paraId="0C349EC6">
      <w:pPr>
        <w:pStyle w:val="12"/>
        <w:rPr>
          <w:rFonts w:ascii="宋体" w:hAnsi="宋体" w:eastAsia="宋体"/>
          <w:sz w:val="18"/>
          <w:szCs w:val="18"/>
        </w:rPr>
      </w:pPr>
    </w:p>
    <w:p w14:paraId="3061CDE7">
      <w:pPr>
        <w:pStyle w:val="12"/>
        <w:rPr>
          <w:rFonts w:ascii="宋体" w:hAnsi="宋体" w:eastAsia="宋体"/>
          <w:sz w:val="18"/>
          <w:szCs w:val="18"/>
        </w:rPr>
      </w:pPr>
    </w:p>
    <w:p w14:paraId="0AC1CCBC">
      <w:pPr>
        <w:pStyle w:val="12"/>
        <w:rPr>
          <w:rFonts w:ascii="宋体" w:hAnsi="宋体" w:eastAsia="宋体"/>
          <w:sz w:val="18"/>
          <w:szCs w:val="18"/>
        </w:rPr>
      </w:pPr>
    </w:p>
    <w:p w14:paraId="20AD7631">
      <w:pPr>
        <w:pStyle w:val="12"/>
        <w:rPr>
          <w:rFonts w:ascii="宋体" w:hAnsi="宋体" w:eastAsia="宋体"/>
          <w:sz w:val="18"/>
          <w:szCs w:val="18"/>
        </w:rPr>
      </w:pPr>
    </w:p>
    <w:p w14:paraId="5A3AA2DF">
      <w:pPr>
        <w:pStyle w:val="12"/>
        <w:rPr>
          <w:rFonts w:ascii="宋体" w:hAnsi="宋体" w:eastAsia="宋体"/>
          <w:sz w:val="18"/>
          <w:szCs w:val="18"/>
        </w:rPr>
      </w:pPr>
    </w:p>
    <w:p w14:paraId="2B4C9CCF">
      <w:pPr>
        <w:pStyle w:val="12"/>
        <w:rPr>
          <w:rFonts w:ascii="宋体" w:hAnsi="宋体" w:eastAsia="宋体"/>
          <w:sz w:val="18"/>
          <w:szCs w:val="18"/>
        </w:rPr>
      </w:pPr>
    </w:p>
    <w:p w14:paraId="3E2408A8">
      <w:pPr>
        <w:pStyle w:val="12"/>
        <w:rPr>
          <w:rFonts w:ascii="宋体" w:hAnsi="宋体" w:eastAsia="宋体"/>
          <w:sz w:val="18"/>
          <w:szCs w:val="18"/>
        </w:rPr>
      </w:pPr>
    </w:p>
    <w:p w14:paraId="30EA412C">
      <w:pPr>
        <w:pStyle w:val="12"/>
        <w:rPr>
          <w:rFonts w:ascii="宋体" w:hAnsi="宋体" w:eastAsia="宋体"/>
          <w:sz w:val="18"/>
          <w:szCs w:val="18"/>
        </w:rPr>
      </w:pPr>
    </w:p>
    <w:p w14:paraId="0CD42EE9">
      <w:pPr>
        <w:pStyle w:val="12"/>
        <w:rPr>
          <w:rFonts w:ascii="宋体" w:hAnsi="宋体" w:eastAsia="宋体"/>
          <w:sz w:val="18"/>
          <w:szCs w:val="18"/>
        </w:rPr>
      </w:pPr>
    </w:p>
    <w:p w14:paraId="556E0CB5">
      <w:pPr>
        <w:pStyle w:val="12"/>
        <w:rPr>
          <w:rFonts w:ascii="宋体" w:hAnsi="宋体" w:eastAsia="宋体"/>
          <w:sz w:val="18"/>
          <w:szCs w:val="18"/>
        </w:rPr>
      </w:pPr>
    </w:p>
    <w:p w14:paraId="76AA963A">
      <w:pPr>
        <w:pStyle w:val="12"/>
        <w:rPr>
          <w:rFonts w:ascii="宋体" w:hAnsi="宋体" w:eastAsia="宋体"/>
          <w:sz w:val="18"/>
          <w:szCs w:val="18"/>
        </w:rPr>
      </w:pPr>
    </w:p>
    <w:p w14:paraId="60C12411">
      <w:pPr>
        <w:pStyle w:val="12"/>
        <w:rPr>
          <w:rFonts w:ascii="宋体" w:hAnsi="宋体" w:eastAsia="宋体"/>
          <w:sz w:val="18"/>
          <w:szCs w:val="18"/>
        </w:rPr>
      </w:pPr>
    </w:p>
    <w:p w14:paraId="358652A4">
      <w:pPr>
        <w:pStyle w:val="12"/>
        <w:rPr>
          <w:rFonts w:ascii="宋体" w:hAnsi="宋体" w:eastAsia="宋体"/>
          <w:sz w:val="18"/>
          <w:szCs w:val="18"/>
        </w:rPr>
      </w:pPr>
    </w:p>
    <w:p w14:paraId="5132C05A">
      <w:pPr>
        <w:pStyle w:val="12"/>
        <w:rPr>
          <w:rFonts w:ascii="宋体" w:hAnsi="宋体" w:eastAsia="宋体"/>
          <w:sz w:val="18"/>
          <w:szCs w:val="18"/>
        </w:rPr>
      </w:pPr>
    </w:p>
    <w:p w14:paraId="05EF8FF9">
      <w:pPr>
        <w:pStyle w:val="12"/>
        <w:jc w:val="right"/>
        <w:rPr>
          <w:rFonts w:ascii="宋体" w:hAnsi="宋体" w:eastAsia="宋体"/>
          <w:sz w:val="15"/>
          <w:szCs w:val="15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</w:p>
    <w:p w14:paraId="1A32E5BE">
      <w:pPr>
        <w:pStyle w:val="12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3904200B">
      <w:pPr>
        <w:pStyle w:val="12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1785D52B">
      <w:pPr>
        <w:pStyle w:val="12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</w:p>
    <w:p w14:paraId="155751C0">
      <w:pPr>
        <w:rPr>
          <w:sz w:val="21"/>
          <w:szCs w:val="2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442C5">
    <w:pPr>
      <w:pStyle w:val="4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569B6A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2713253E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1312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2E569B6A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2713253E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888F4"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2888F4">
                    <w:pPr>
                      <w:pStyle w:val="4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83D7F6">
    <w:pPr>
      <w:pStyle w:val="4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0BD3564"/>
    <w:rsid w:val="01F42AE4"/>
    <w:rsid w:val="0FA35E6F"/>
    <w:rsid w:val="13F87A2B"/>
    <w:rsid w:val="185A75A0"/>
    <w:rsid w:val="18BA0024"/>
    <w:rsid w:val="18C35842"/>
    <w:rsid w:val="19052EAE"/>
    <w:rsid w:val="228F4143"/>
    <w:rsid w:val="2CE660DE"/>
    <w:rsid w:val="32F418A8"/>
    <w:rsid w:val="467D0629"/>
    <w:rsid w:val="4A952619"/>
    <w:rsid w:val="505D23C9"/>
    <w:rsid w:val="53637083"/>
    <w:rsid w:val="57C33CF8"/>
    <w:rsid w:val="6CC132EF"/>
    <w:rsid w:val="6CF84AB8"/>
    <w:rsid w:val="71DE7E3B"/>
    <w:rsid w:val="7ED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before="1"/>
      <w:ind w:left="460"/>
      <w:outlineLvl w:val="2"/>
    </w:pPr>
    <w:rPr>
      <w:rFonts w:ascii="宋体" w:hAnsi="宋体" w:eastAsia="宋体" w:cs="宋体"/>
      <w:b/>
      <w:bCs/>
      <w:sz w:val="22"/>
      <w:szCs w:val="22"/>
      <w:lang w:val="zh-CN" w:eastAsia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" w:hAnsi="Arial" w:eastAsia="Arial" w:cs="Arial"/>
      <w:sz w:val="22"/>
      <w:szCs w:val="2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2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1492</Words>
  <Characters>2344</Characters>
  <Lines>0</Lines>
  <Paragraphs>0</Paragraphs>
  <TotalTime>1</TotalTime>
  <ScaleCrop>false</ScaleCrop>
  <LinksUpToDate>false</LinksUpToDate>
  <CharactersWithSpaces>2466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2026-03-13T01:03:19Z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5AEE5BC457D447C699C9C3A94ED6F9CE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