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89CA7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 </w:t>
      </w:r>
    </w:p>
    <w:p w14:paraId="4E0CBE24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7D69210D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16口全千兆e网管POE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交换机</w:t>
      </w:r>
    </w:p>
    <w:p w14:paraId="330F1084">
      <w:pPr>
        <w:spacing w:before="100" w:beforeAutospacing="1" w:after="100" w:afterAutospacing="1" w:line="340" w:lineRule="exact"/>
        <w:rPr>
          <w:rFonts w:hint="default" w:ascii="宋体" w:hAnsi="宋体"/>
          <w:b/>
          <w:color w:val="00B0F0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736600</wp:posOffset>
            </wp:positionH>
            <wp:positionV relativeFrom="paragraph">
              <wp:posOffset>98425</wp:posOffset>
            </wp:positionV>
            <wp:extent cx="4369435" cy="4369435"/>
            <wp:effectExtent l="0" t="0" r="4445" b="4445"/>
            <wp:wrapNone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69435" cy="4369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00B0F0"/>
          <w:sz w:val="32"/>
          <w:szCs w:val="32"/>
          <w:lang w:val="en-US" w:eastAsia="zh-CN"/>
        </w:rPr>
        <w:t>ONV-H53168PFMA</w:t>
      </w:r>
    </w:p>
    <w:p w14:paraId="018C56AE">
      <w:pPr>
        <w:pStyle w:val="5"/>
        <w:keepNext w:val="0"/>
        <w:keepLines w:val="0"/>
        <w:widowControl/>
        <w:suppressLineNumbers w:val="0"/>
      </w:pPr>
    </w:p>
    <w:p w14:paraId="265B99CB">
      <w:pPr>
        <w:pStyle w:val="5"/>
        <w:keepNext w:val="0"/>
        <w:keepLines w:val="0"/>
        <w:widowControl/>
        <w:suppressLineNumbers w:val="0"/>
      </w:pPr>
    </w:p>
    <w:p w14:paraId="1ADDDCBC">
      <w:pPr>
        <w:spacing w:before="100" w:beforeAutospacing="1" w:after="100" w:afterAutospacing="1" w:line="340" w:lineRule="exact"/>
        <w:rPr>
          <w:rFonts w:hint="eastAsia" w:ascii="宋体" w:hAnsi="宋体"/>
          <w:b/>
          <w:color w:val="0000FF"/>
          <w:sz w:val="32"/>
          <w:szCs w:val="32"/>
          <w:lang w:val="en-US" w:eastAsia="zh-CN"/>
        </w:rPr>
      </w:pPr>
    </w:p>
    <w:p w14:paraId="74B3D18F">
      <w:pPr>
        <w:spacing w:before="100" w:beforeAutospacing="1" w:after="100" w:afterAutospacing="1" w:line="340" w:lineRule="exact"/>
        <w:rPr>
          <w:rFonts w:hint="default" w:ascii="宋体" w:hAnsi="宋体"/>
          <w:b/>
          <w:color w:val="0000FF"/>
          <w:sz w:val="32"/>
          <w:szCs w:val="32"/>
          <w:lang w:val="en-US" w:eastAsia="zh-CN"/>
        </w:rPr>
      </w:pPr>
    </w:p>
    <w:p w14:paraId="4A8F3A38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7DD8B57B">
      <w:pPr>
        <w:spacing w:before="100" w:beforeAutospacing="1" w:after="100" w:afterAutospacing="1" w:line="340" w:lineRule="exact"/>
        <w:rPr>
          <w:rFonts w:hint="default" w:ascii="宋体" w:hAnsi="宋体" w:eastAsia="宋体"/>
          <w:b/>
          <w:color w:val="ED7D31" w:themeColor="accent2"/>
          <w:sz w:val="32"/>
          <w:szCs w:val="32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:lang w:val="en-US" w:eastAsia="zh-CN"/>
          <w14:textFill>
            <w14:solidFill>
              <w14:schemeClr w14:val="accent2"/>
            </w14:solidFill>
          </w14:textFill>
        </w:rPr>
        <w:t xml:space="preserve">           </w:t>
      </w:r>
    </w:p>
    <w:p w14:paraId="3DF2F6F8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6603173B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CFC4A54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505C7E72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0CAEA265">
      <w:pPr>
        <w:spacing w:before="100" w:beforeAutospacing="1" w:after="100" w:afterAutospacing="1" w:line="340" w:lineRule="exact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 w14:paraId="5A6FA5E5">
      <w:pPr>
        <w:pStyle w:val="10"/>
        <w:spacing w:before="100" w:beforeAutospacing="1" w:after="100" w:afterAutospacing="1" w:line="400" w:lineRule="exact"/>
        <w:ind w:firstLine="500" w:firstLineChars="250"/>
        <w:rPr>
          <w:rFonts w:hint="default" w:ascii="Arial" w:hAnsi="Arial" w:cs="Arial"/>
          <w:b/>
          <w:color w:val="0070C0"/>
          <w:sz w:val="20"/>
          <w:szCs w:val="20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ONV-H53168PFMA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系列是ONV自主研发的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全千兆e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网管PoE交换机，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支持8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个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10/100/1000Base-T自适应RJ45端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口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+8个1000Base-X SFP光口插槽。其中1-8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端口支持IEEE 802.3af/at标准PoE供电，单端口PoE功率达30W。</w:t>
      </w:r>
      <w:r>
        <w:rPr>
          <w:rFonts w:hint="default" w:ascii="Arial" w:hAnsi="Arial" w:eastAsia="微软雅黑" w:cs="Arial"/>
          <w:color w:val="000000"/>
          <w:sz w:val="20"/>
          <w:szCs w:val="20"/>
          <w:shd w:val="clear" w:color="auto" w:fill="FFFFFF"/>
        </w:rPr>
        <w:t>作为PoE供电设备，能自动检测识别符合标准的受电设备并通过网线为其供电。</w:t>
      </w:r>
      <w:r>
        <w:rPr>
          <w:rFonts w:hint="default" w:ascii="Arial" w:hAnsi="Arial" w:eastAsia="微软雅黑" w:cs="Arial"/>
          <w:sz w:val="20"/>
          <w:szCs w:val="20"/>
        </w:rPr>
        <w:t>可通过网线为无线AP、网络摄像头、网络电话机、</w:t>
      </w:r>
      <w:r>
        <w:rPr>
          <w:rFonts w:hint="default" w:ascii="Arial" w:hAnsi="Arial" w:eastAsia="微软雅黑" w:cs="Arial"/>
          <w:sz w:val="20"/>
          <w:szCs w:val="20"/>
          <w:lang w:val="en-US" w:eastAsia="zh-CN"/>
        </w:rPr>
        <w:t>可视门禁对讲</w:t>
      </w:r>
      <w:r>
        <w:rPr>
          <w:rFonts w:hint="default" w:ascii="Arial" w:hAnsi="Arial" w:eastAsia="微软雅黑" w:cs="Arial"/>
          <w:sz w:val="20"/>
          <w:szCs w:val="20"/>
        </w:rPr>
        <w:t>等POE终端设备供电，</w:t>
      </w:r>
      <w:r>
        <w:rPr>
          <w:rFonts w:hint="default" w:ascii="Arial" w:hAnsi="Arial" w:eastAsia="微软雅黑" w:cs="Arial"/>
          <w:color w:val="000000"/>
          <w:sz w:val="20"/>
          <w:szCs w:val="20"/>
          <w:shd w:val="clear" w:color="auto" w:fill="FFFFFF"/>
        </w:rPr>
        <w:t>满足对高密度PoE供电有需求的网络环境，适合酒店、校园、厂区宿舍及</w:t>
      </w:r>
      <w:r>
        <w:rPr>
          <w:rFonts w:hint="eastAsia" w:ascii="Arial" w:hAnsi="Arial" w:eastAsia="微软雅黑" w:cs="Arial"/>
          <w:color w:val="000000"/>
          <w:sz w:val="20"/>
          <w:szCs w:val="20"/>
          <w:shd w:val="clear" w:color="auto" w:fill="FFFFFF"/>
          <w:lang w:val="en-US" w:eastAsia="zh-CN"/>
        </w:rPr>
        <w:t>SMB</w:t>
      </w:r>
      <w:r>
        <w:rPr>
          <w:rFonts w:hint="default" w:ascii="Arial" w:hAnsi="Arial" w:eastAsia="微软雅黑" w:cs="Arial"/>
          <w:color w:val="000000"/>
          <w:sz w:val="20"/>
          <w:szCs w:val="20"/>
          <w:shd w:val="clear" w:color="auto" w:fill="FFFFFF"/>
        </w:rPr>
        <w:t>中小型企业组建经济高效的网络。</w:t>
      </w:r>
    </w:p>
    <w:p w14:paraId="66B3FF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400" w:lineRule="exact"/>
        <w:ind w:firstLine="400" w:firstLineChars="200"/>
        <w:jc w:val="both"/>
        <w:textAlignment w:val="auto"/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ONV-H53168PFMA支持WEB管理，同时支持ONV-NMS云管理平台和移动APP管理，支持</w:t>
      </w:r>
      <w:r>
        <w:rPr>
          <w:rFonts w:hint="eastAsia" w:ascii="微软雅黑" w:hAnsi="微软雅黑" w:eastAsia="微软雅黑" w:cs="微软雅黑"/>
          <w:lang w:val="en-US" w:eastAsia="zh-CN"/>
        </w:rPr>
        <w:t>环网</w:t>
      </w:r>
      <w:r>
        <w:rPr>
          <w:rFonts w:hint="eastAsia" w:ascii="微软雅黑" w:hAnsi="微软雅黑" w:eastAsia="微软雅黑" w:cs="微软雅黑"/>
        </w:rPr>
        <w:t>协议RSTP(&lt;50ms)提升链路备份和网路可靠性，</w:t>
      </w:r>
      <w:r>
        <w:rPr>
          <w:rFonts w:hint="eastAsia" w:ascii="微软雅黑" w:hAnsi="微软雅黑" w:eastAsia="微软雅黑" w:cs="微软雅黑"/>
          <w:lang w:val="en-US" w:eastAsia="zh-CN"/>
        </w:rPr>
        <w:t>减少熔纤次数及网络节点，提高施工效率，</w:t>
      </w:r>
      <w:r>
        <w:rPr>
          <w:rFonts w:hint="eastAsia" w:ascii="微软雅黑" w:hAnsi="微软雅黑" w:eastAsia="微软雅黑" w:cs="微软雅黑"/>
        </w:rPr>
        <w:t>当单向网络故障时，可以迅速恢复通信，保证重要传输的不间断通讯。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可实现安防网络拓扑管理、VLAN设置、端口管理、POE管理、远程运维等功能。该交换机可靠性高、便于安装维护，具有快速交换功能，以及多个接入端口，适用于各种规模局域网设备接入。</w:t>
      </w:r>
    </w:p>
    <w:p w14:paraId="2D3021EA">
      <w:pPr>
        <w:pStyle w:val="10"/>
        <w:spacing w:before="100" w:beforeAutospacing="1" w:after="100" w:afterAutospacing="1" w:line="400" w:lineRule="exact"/>
        <w:ind w:firstLine="502" w:firstLineChars="250"/>
        <w:rPr>
          <w:rFonts w:hint="default" w:ascii="宋体" w:hAnsi="宋体"/>
          <w:b/>
          <w:color w:val="0070C0"/>
          <w:sz w:val="20"/>
          <w:szCs w:val="20"/>
          <w:lang w:val="en-US"/>
        </w:rPr>
      </w:pPr>
    </w:p>
    <w:p w14:paraId="7DD79206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 w14:paraId="7D7C929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default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千兆接入，光口上行</w:t>
      </w:r>
    </w:p>
    <w:p w14:paraId="278696B7">
      <w:pPr>
        <w:pStyle w:val="10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全系列支持“</w:t>
      </w:r>
      <w:r>
        <w:rPr>
          <w:rFonts w:hint="eastAsia" w:ascii="宋体" w:hAnsi="宋体"/>
          <w:sz w:val="20"/>
          <w:szCs w:val="20"/>
          <w:lang w:val="en-US" w:eastAsia="zh-CN"/>
        </w:rPr>
        <w:t>千兆</w:t>
      </w:r>
      <w:r>
        <w:rPr>
          <w:rFonts w:hint="eastAsia" w:ascii="宋体" w:hAnsi="宋体"/>
          <w:sz w:val="20"/>
          <w:szCs w:val="20"/>
        </w:rPr>
        <w:t>以太网口+</w:t>
      </w:r>
      <w:r>
        <w:rPr>
          <w:rFonts w:hint="eastAsia" w:ascii="宋体" w:hAnsi="宋体"/>
          <w:sz w:val="20"/>
          <w:szCs w:val="20"/>
          <w:lang w:val="en-US" w:eastAsia="zh-CN"/>
        </w:rPr>
        <w:t>千兆</w:t>
      </w:r>
      <w:r>
        <w:rPr>
          <w:rFonts w:hint="eastAsia" w:ascii="宋体" w:hAnsi="宋体"/>
          <w:sz w:val="20"/>
          <w:szCs w:val="20"/>
        </w:rPr>
        <w:t>光口”组合，方便用户灵活组网，满足各种场景组网需求；</w:t>
      </w:r>
    </w:p>
    <w:p w14:paraId="608F7D79">
      <w:pPr>
        <w:pStyle w:val="10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所有端口支持无阻塞线速转发，传输更流畅。</w:t>
      </w:r>
    </w:p>
    <w:p w14:paraId="08EF30B7">
      <w:pPr>
        <w:pStyle w:val="10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支持IEEE 802.3x全双工流控和Backpressure半双工流控。</w:t>
      </w:r>
    </w:p>
    <w:p w14:paraId="69B70A64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</w:p>
    <w:p w14:paraId="695A644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default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智能POE供电</w:t>
      </w:r>
    </w:p>
    <w:p w14:paraId="5F70065D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8</w:t>
      </w:r>
      <w:r>
        <w:rPr>
          <w:rFonts w:hint="eastAsia" w:ascii="宋体" w:hAnsi="宋体"/>
          <w:sz w:val="20"/>
          <w:szCs w:val="20"/>
        </w:rPr>
        <w:t>个10/100</w:t>
      </w:r>
      <w:r>
        <w:rPr>
          <w:rFonts w:hint="eastAsia" w:ascii="宋体" w:hAnsi="宋体"/>
          <w:sz w:val="20"/>
          <w:szCs w:val="20"/>
          <w:lang w:val="en-US" w:eastAsia="zh-CN"/>
        </w:rPr>
        <w:t>/1000</w:t>
      </w:r>
      <w:r>
        <w:rPr>
          <w:rFonts w:hint="eastAsia" w:ascii="宋体" w:hAnsi="宋体"/>
          <w:sz w:val="20"/>
          <w:szCs w:val="20"/>
        </w:rPr>
        <w:t>Base-T RJ45端口支持PoE供电，满足安防监控、电话会议系统、无线覆盖等场景PoE供电的需求。</w:t>
      </w:r>
    </w:p>
    <w:p w14:paraId="21593E49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 符合IEEE 802.3af</w:t>
      </w:r>
      <w:r>
        <w:rPr>
          <w:rFonts w:hint="eastAsia" w:ascii="宋体" w:hAnsi="宋体"/>
          <w:sz w:val="20"/>
          <w:szCs w:val="20"/>
          <w:lang w:val="en-US" w:eastAsia="zh-CN"/>
        </w:rPr>
        <w:t>/at</w:t>
      </w:r>
      <w:r>
        <w:rPr>
          <w:rFonts w:hint="eastAsia" w:ascii="宋体" w:hAnsi="宋体"/>
          <w:sz w:val="20"/>
          <w:szCs w:val="20"/>
        </w:rPr>
        <w:t xml:space="preserve"> PoE供电标准，自动识别PoE设备进行供电，不损坏非PoE设备</w:t>
      </w:r>
      <w:r>
        <w:rPr>
          <w:rFonts w:hint="eastAsia" w:ascii="宋体" w:hAnsi="宋体"/>
          <w:sz w:val="20"/>
          <w:szCs w:val="20"/>
          <w:lang w:val="en-US" w:eastAsia="zh-CN"/>
        </w:rPr>
        <w:t>,</w:t>
      </w:r>
      <w:r>
        <w:rPr>
          <w:rFonts w:hint="eastAsia" w:ascii="宋体" w:hAnsi="宋体"/>
          <w:sz w:val="20"/>
          <w:szCs w:val="20"/>
        </w:rPr>
        <w:t>单端口最大PoE输出功率为30W。</w:t>
      </w:r>
    </w:p>
    <w:p w14:paraId="01780C02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 支持</w:t>
      </w:r>
      <w:r>
        <w:rPr>
          <w:rFonts w:hint="eastAsia" w:ascii="宋体" w:hAnsi="宋体"/>
          <w:sz w:val="20"/>
          <w:szCs w:val="20"/>
          <w:lang w:val="en-US" w:eastAsia="zh-CN"/>
        </w:rPr>
        <w:t>远程</w:t>
      </w:r>
      <w:r>
        <w:rPr>
          <w:rFonts w:hint="default" w:ascii="宋体" w:hAnsi="宋体"/>
          <w:sz w:val="20"/>
          <w:szCs w:val="20"/>
          <w:lang w:val="en-US" w:eastAsia="zh-CN"/>
        </w:rPr>
        <w:t>POE</w:t>
      </w:r>
      <w:r>
        <w:rPr>
          <w:rFonts w:hint="eastAsia" w:ascii="宋体" w:hAnsi="宋体"/>
          <w:sz w:val="20"/>
          <w:szCs w:val="20"/>
          <w:lang w:val="en-US" w:eastAsia="zh-CN"/>
        </w:rPr>
        <w:t>管理</w:t>
      </w:r>
      <w:r>
        <w:rPr>
          <w:rFonts w:hint="default" w:ascii="宋体" w:hAnsi="宋体"/>
          <w:sz w:val="20"/>
          <w:szCs w:val="20"/>
          <w:lang w:val="en-US" w:eastAsia="zh-CN"/>
        </w:rPr>
        <w:t>功能，实现PoE各端口</w:t>
      </w:r>
      <w:r>
        <w:rPr>
          <w:rFonts w:hint="eastAsia" w:ascii="宋体" w:hAnsi="宋体"/>
          <w:sz w:val="20"/>
          <w:szCs w:val="20"/>
          <w:lang w:val="en-US" w:eastAsia="zh-CN"/>
        </w:rPr>
        <w:t>远程开关</w:t>
      </w:r>
      <w:r>
        <w:rPr>
          <w:rFonts w:hint="default" w:ascii="宋体" w:hAnsi="宋体"/>
          <w:sz w:val="20"/>
          <w:szCs w:val="20"/>
          <w:lang w:val="en-US" w:eastAsia="zh-CN"/>
        </w:rPr>
        <w:t>，端口功率状态查看，</w:t>
      </w:r>
      <w:r>
        <w:rPr>
          <w:rFonts w:hint="eastAsia" w:ascii="宋体" w:hAnsi="宋体"/>
          <w:sz w:val="20"/>
          <w:szCs w:val="20"/>
          <w:lang w:val="en-US" w:eastAsia="zh-CN"/>
        </w:rPr>
        <w:t>POE端口故障查询功能</w:t>
      </w:r>
      <w:r>
        <w:rPr>
          <w:rFonts w:hint="default" w:ascii="宋体" w:hAnsi="宋体"/>
          <w:sz w:val="20"/>
          <w:szCs w:val="20"/>
          <w:lang w:val="en-US" w:eastAsia="zh-CN"/>
        </w:rPr>
        <w:t>等。</w:t>
      </w:r>
    </w:p>
    <w:p w14:paraId="6C4AE855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</w:p>
    <w:p w14:paraId="65B8299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default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极致优化，极简应用</w:t>
      </w:r>
    </w:p>
    <w:p w14:paraId="6DA123A4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依据行业应用需求，摒弃了复杂的网管配置，保留了实用的网管功能，通过运维平台，即可快速实现网络部署与集中运维</w:t>
      </w:r>
      <w:r>
        <w:rPr>
          <w:rFonts w:hint="eastAsia" w:ascii="宋体" w:hAnsi="宋体"/>
          <w:sz w:val="20"/>
          <w:szCs w:val="20"/>
        </w:rPr>
        <w:t>。</w:t>
      </w:r>
    </w:p>
    <w:p w14:paraId="1D4D8F71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color w:val="FF0000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Web网管功能</w:t>
      </w:r>
      <w:r>
        <w:rPr>
          <w:rFonts w:hint="eastAsia" w:ascii="宋体" w:hAnsi="宋体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QoS、链路聚合、环网管理、端口镜像、端口控制与带宽管理。</w:t>
      </w:r>
    </w:p>
    <w:p w14:paraId="208EC9C6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云平台+移动APP运维管理，可视化PoE供电控制、网络拓扑管理、VLAN划分。</w:t>
      </w:r>
    </w:p>
    <w:p w14:paraId="71388AD2">
      <w:pPr>
        <w:pStyle w:val="10"/>
        <w:numPr>
          <w:ilvl w:val="0"/>
          <w:numId w:val="0"/>
        </w:numPr>
        <w:spacing w:line="400" w:lineRule="atLeast"/>
        <w:ind w:leftChars="0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支持远程升级，远程重启，恢复出厂设置。</w:t>
      </w:r>
    </w:p>
    <w:p w14:paraId="60C22334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支持实时故障告警，故障定位。</w:t>
      </w:r>
    </w:p>
    <w:p w14:paraId="4A8ACD84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</w:p>
    <w:p w14:paraId="1352C03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设备稳定可靠</w:t>
      </w:r>
    </w:p>
    <w:p w14:paraId="58947905">
      <w:pPr>
        <w:spacing w:line="360" w:lineRule="auto"/>
        <w:rPr>
          <w:rFonts w:hint="default" w:ascii="Calibri" w:hAnsi="Calibri" w:eastAsia="宋体" w:cs="Times New Roman"/>
          <w:kern w:val="2"/>
          <w:sz w:val="20"/>
          <w:szCs w:val="21"/>
          <w:lang w:val="en-US" w:eastAsia="zh-CN" w:bidi="ar-SA"/>
        </w:rPr>
      </w:pPr>
      <w:bookmarkStart w:id="0" w:name="OLE_LINK1"/>
      <w:bookmarkStart w:id="1" w:name="OLE_LINK2"/>
      <w:r>
        <w:rPr>
          <w:rFonts w:hint="eastAsia" w:ascii="宋体" w:hAnsi="宋体"/>
          <w:sz w:val="20"/>
          <w:szCs w:val="20"/>
        </w:rPr>
        <w:t>◇</w:t>
      </w:r>
      <w:bookmarkEnd w:id="0"/>
      <w:bookmarkEnd w:id="1"/>
      <w:r>
        <w:rPr>
          <w:rFonts w:hint="eastAsia" w:ascii="宋体" w:hAnsi="宋体"/>
          <w:sz w:val="20"/>
          <w:szCs w:val="20"/>
        </w:rPr>
        <w:t xml:space="preserve"> </w:t>
      </w:r>
      <w:r>
        <w:rPr>
          <w:rFonts w:hint="default" w:ascii="Calibri" w:hAnsi="Calibri" w:eastAsia="宋体" w:cs="Times New Roman"/>
          <w:kern w:val="2"/>
          <w:sz w:val="20"/>
          <w:szCs w:val="21"/>
          <w:lang w:val="en-US" w:eastAsia="zh-CN" w:bidi="ar-SA"/>
        </w:rPr>
        <w:t>主机低功耗、无风扇静音设计，铝合金材质金属外壳，散热优良，保证产品稳定运行。</w:t>
      </w:r>
    </w:p>
    <w:p w14:paraId="6E9037B6">
      <w:pPr>
        <w:spacing w:line="360" w:lineRule="auto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 设备满足国家C</w:t>
      </w:r>
      <w:r>
        <w:rPr>
          <w:rFonts w:hint="eastAsia" w:ascii="宋体" w:hAnsi="宋体"/>
          <w:sz w:val="20"/>
          <w:szCs w:val="20"/>
          <w:lang w:val="en-US" w:eastAsia="zh-CN"/>
        </w:rPr>
        <w:t>Q</w:t>
      </w:r>
      <w:r>
        <w:rPr>
          <w:rFonts w:hint="eastAsia" w:ascii="宋体" w:hAnsi="宋体"/>
          <w:sz w:val="20"/>
          <w:szCs w:val="20"/>
        </w:rPr>
        <w:t>C标准，完全符合CE、FCC、RoHS安规要求，使用安全可靠。</w:t>
      </w:r>
    </w:p>
    <w:p w14:paraId="6406F895">
      <w:pPr>
        <w:spacing w:line="360" w:lineRule="auto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 用户可通过电源指示灯(PWR)、</w:t>
      </w:r>
      <w:r>
        <w:rPr>
          <w:rFonts w:hint="eastAsia" w:ascii="宋体" w:hAnsi="宋体"/>
          <w:sz w:val="20"/>
          <w:szCs w:val="20"/>
          <w:lang w:val="en-US" w:eastAsia="zh-CN"/>
        </w:rPr>
        <w:t>系统运行指示灯（SYS）、</w:t>
      </w:r>
      <w:r>
        <w:rPr>
          <w:rFonts w:hint="eastAsia" w:ascii="宋体" w:hAnsi="宋体"/>
          <w:sz w:val="20"/>
          <w:szCs w:val="20"/>
        </w:rPr>
        <w:t>端口状态指示灯（Link</w:t>
      </w:r>
      <w:r>
        <w:rPr>
          <w:rFonts w:hint="eastAsia" w:ascii="宋体" w:hAnsi="宋体"/>
          <w:sz w:val="20"/>
          <w:szCs w:val="20"/>
          <w:lang w:eastAsia="zh-CN"/>
        </w:rPr>
        <w:t>，</w:t>
      </w:r>
      <w:r>
        <w:rPr>
          <w:rFonts w:hint="eastAsia" w:ascii="宋体" w:hAnsi="宋体"/>
          <w:sz w:val="20"/>
          <w:szCs w:val="20"/>
          <w:lang w:val="en-US" w:eastAsia="zh-CN"/>
        </w:rPr>
        <w:t>L/A</w:t>
      </w:r>
      <w:r>
        <w:rPr>
          <w:rFonts w:hint="eastAsia" w:ascii="宋体" w:hAnsi="宋体"/>
          <w:sz w:val="20"/>
          <w:szCs w:val="20"/>
        </w:rPr>
        <w:t>）、PoE工作指示灯轻松了解设备工作状态。</w:t>
      </w:r>
    </w:p>
    <w:p w14:paraId="7C13EDAE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kern w:val="0"/>
          <w:sz w:val="22"/>
          <w:szCs w:val="22"/>
          <w:shd w:val="clear" w:fill="FFFFFF"/>
          <w:lang w:val="en-US" w:eastAsia="zh-CN" w:bidi="ar"/>
        </w:rPr>
        <w:t>丰富的端口组合</w:t>
      </w:r>
      <w:r>
        <w:br w:type="textWrapping"/>
      </w:r>
      <w:r>
        <w:rPr>
          <w:rFonts w:hint="eastAsia" w:ascii="宋体" w:hAnsi="宋体"/>
          <w:sz w:val="20"/>
          <w:szCs w:val="20"/>
        </w:rPr>
        <w:t>芯片内部集成8电口千兆PHY，单芯片支持8千兆电+8千兆光。同时，可以扩展灵活支持不同光电组合的端口形态。</w:t>
      </w:r>
      <w:r>
        <w:br w:type="textWrapping"/>
      </w:r>
      <w:r>
        <w:t> </w:t>
      </w:r>
    </w:p>
    <w:p w14:paraId="73862851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灵活共享缓存</w:t>
      </w:r>
      <w:r>
        <w:br w:type="textWrapping"/>
      </w:r>
      <w:r>
        <w:rPr>
          <w:rFonts w:hint="eastAsia" w:ascii="宋体" w:hAnsi="宋体"/>
          <w:sz w:val="20"/>
          <w:szCs w:val="20"/>
        </w:rPr>
        <w:t>针对视频接入场景，芯片提供内置灵活共享缓存，满足业务流量突发的要求。</w:t>
      </w:r>
      <w:r>
        <w:br w:type="textWrapping"/>
      </w:r>
      <w:r>
        <w:t> </w:t>
      </w:r>
    </w:p>
    <w:p w14:paraId="1D315A98">
      <w:pPr>
        <w:pStyle w:val="10"/>
        <w:spacing w:before="100" w:beforeAutospacing="1" w:after="100" w:afterAutospacing="1" w:line="20" w:lineRule="atLeast"/>
        <w:ind w:firstLine="0" w:firstLineChars="0"/>
        <w:outlineLvl w:val="1"/>
        <w:rPr>
          <w:rFonts w:ascii="宋体" w:hAnsi="宋体"/>
          <w:b/>
          <w:color w:val="548235" w:themeColor="accent6" w:themeShade="BF"/>
          <w:sz w:val="28"/>
          <w:szCs w:val="28"/>
        </w:rPr>
      </w:pPr>
      <w:r>
        <w:br w:type="textWrapping"/>
      </w:r>
    </w:p>
    <w:p w14:paraId="203B6983">
      <w:pPr>
        <w:pStyle w:val="10"/>
        <w:spacing w:before="100" w:beforeAutospacing="1" w:after="100" w:afterAutospacing="1" w:line="20" w:lineRule="atLeast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6"/>
        <w:tblW w:w="8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6647"/>
      </w:tblGrid>
      <w:tr w14:paraId="6A0F3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77" w:type="dxa"/>
            <w:shd w:val="clear" w:color="auto" w:fill="1E4D78" w:themeFill="accent1" w:themeFillShade="7F"/>
            <w:vAlign w:val="center"/>
          </w:tcPr>
          <w:p w14:paraId="22CCD790">
            <w:pPr>
              <w:widowControl/>
              <w:jc w:val="center"/>
              <w:rPr>
                <w:rFonts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宋体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6647" w:type="dxa"/>
            <w:shd w:val="clear" w:color="auto" w:fill="1E4D78" w:themeFill="accent1" w:themeFillShade="7F"/>
            <w:vAlign w:val="center"/>
          </w:tcPr>
          <w:p w14:paraId="4CC5CBF2">
            <w:pPr>
              <w:widowControl/>
              <w:jc w:val="center"/>
              <w:rPr>
                <w:rFonts w:hint="default" w:ascii="Arial" w:hAnsi="Arial" w:eastAsia="宋体" w:cs="Arial"/>
                <w:b/>
                <w:bCs w:val="0"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ONV-H53168PFMA</w:t>
            </w:r>
          </w:p>
        </w:tc>
      </w:tr>
      <w:tr w14:paraId="425E3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420D41F2">
            <w:pPr>
              <w:widowControl/>
              <w:jc w:val="left"/>
              <w:rPr>
                <w:rFonts w:hint="default" w:ascii="Arial" w:hAnsi="Arial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0D208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4BB8D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2817F35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个10/100/1000Base-T POE口（Data/Power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 w14:paraId="033BF2C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000Base-X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SFP上联光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(Data)</w:t>
            </w:r>
            <w:bookmarkStart w:id="4" w:name="_GoBack"/>
            <w:bookmarkEnd w:id="4"/>
          </w:p>
        </w:tc>
      </w:tr>
      <w:tr w14:paraId="7CA16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E2FCCB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12E3A6A6">
            <w:pPr>
              <w:pStyle w:val="11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10/100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自动侦测，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</w:p>
        </w:tc>
      </w:tr>
      <w:tr w14:paraId="73A48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6B5ECC3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2151663C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3551AE37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3A5E7DE4">
            <w:pPr>
              <w:pStyle w:val="11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36DAE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801D4D3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光口特性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0ABF32DD">
            <w:pPr>
              <w:pStyle w:val="11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千</w:t>
            </w:r>
            <w:r>
              <w:rPr>
                <w:rFonts w:hAnsi="宋体"/>
                <w:color w:val="auto"/>
                <w:sz w:val="18"/>
                <w:szCs w:val="18"/>
              </w:rPr>
              <w:t>兆SFP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光纤接口，默认不配套光模块，需要另购，（可选订单模/多模、单纤/双纤光模块，LC）</w:t>
            </w:r>
          </w:p>
        </w:tc>
      </w:tr>
      <w:tr w14:paraId="7A286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968BB3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光缆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193777E2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850nm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  <w:p w14:paraId="20258E0E">
            <w:pPr>
              <w:pStyle w:val="11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1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2EB25B35">
            <w:pPr>
              <w:pStyle w:val="11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       工作波长：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55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4238E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09619E50">
            <w:pPr>
              <w:pStyle w:val="11"/>
              <w:rPr>
                <w:rFonts w:hint="eastAsia" w:hAnsi="宋体"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交换芯片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 w14:paraId="06381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C69527F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网管类型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5A9D21C5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L2</w:t>
            </w:r>
          </w:p>
        </w:tc>
      </w:tr>
      <w:tr w14:paraId="4213D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DED67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081B3199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 w14:paraId="45AA881D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100Base-TX； </w:t>
            </w:r>
          </w:p>
          <w:p w14:paraId="3A5C65FA">
            <w:pPr>
              <w:pStyle w:val="11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</w:p>
          <w:p w14:paraId="42E5D528">
            <w:pPr>
              <w:pStyle w:val="11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IEEE802.3z 1000Base-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X；</w:t>
            </w:r>
          </w:p>
          <w:p w14:paraId="56E0FA5F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 w14:paraId="0FFBC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B40821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36B71A9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4A1CF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7875B2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70B2046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4D4E5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644BE2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12FA061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23.81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Mpps</w:t>
            </w:r>
          </w:p>
        </w:tc>
      </w:tr>
      <w:tr w14:paraId="0216C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3424D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61E1FC8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</w:t>
            </w:r>
          </w:p>
        </w:tc>
      </w:tr>
      <w:tr w14:paraId="51D7D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4F920B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5D5E1BB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</w:t>
            </w:r>
          </w:p>
        </w:tc>
      </w:tr>
      <w:tr w14:paraId="08F5B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C7CA6C2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巨型帧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6FA462C5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9.6K</w:t>
            </w:r>
          </w:p>
        </w:tc>
      </w:tr>
      <w:tr w14:paraId="727B3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B1EC778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35B2FD86">
            <w:pPr>
              <w:pStyle w:val="11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电源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/系统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指示灯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SYS</w:t>
            </w:r>
            <w:r>
              <w:rPr>
                <w:rFonts w:hAnsi="宋体"/>
                <w:color w:val="auto"/>
                <w:sz w:val="18"/>
                <w:szCs w:val="18"/>
              </w:rPr>
              <w:t>(绿色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)； </w:t>
            </w:r>
            <w:r>
              <w:rPr>
                <w:rFonts w:hint="eastAsia" w:hAnsi="宋体"/>
                <w:sz w:val="18"/>
                <w:szCs w:val="18"/>
              </w:rPr>
              <w:t>网络指示灯：</w:t>
            </w:r>
            <w:r>
              <w:rPr>
                <w:rFonts w:hAnsi="宋体"/>
                <w:sz w:val="18"/>
                <w:szCs w:val="18"/>
              </w:rPr>
              <w:t>Link</w:t>
            </w:r>
            <w:r>
              <w:rPr>
                <w:rFonts w:hint="eastAsia" w:hAnsi="宋体"/>
                <w:sz w:val="18"/>
                <w:szCs w:val="18"/>
              </w:rPr>
              <w:t>（黄色）；</w:t>
            </w:r>
            <w:r>
              <w:rPr>
                <w:rFonts w:hAnsi="宋体"/>
                <w:sz w:val="18"/>
                <w:szCs w:val="18"/>
              </w:rPr>
              <w:t>P</w:t>
            </w:r>
            <w:r>
              <w:rPr>
                <w:rFonts w:hint="eastAsia" w:hAnsi="宋体"/>
                <w:sz w:val="18"/>
                <w:szCs w:val="18"/>
              </w:rPr>
              <w:t>OE指示灯：PoE（绿色）；光口指示灯：L/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A</w:t>
            </w:r>
            <w:r>
              <w:rPr>
                <w:rFonts w:hint="eastAsia" w:hAnsi="宋体"/>
                <w:sz w:val="18"/>
                <w:szCs w:val="18"/>
              </w:rPr>
              <w:t>（绿色）</w:t>
            </w:r>
          </w:p>
        </w:tc>
      </w:tr>
      <w:tr w14:paraId="2B6A6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BBC40DF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复位开关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194AA30B">
            <w:pPr>
              <w:pStyle w:val="11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长按6秒后松开，恢复出厂默认设置</w:t>
            </w:r>
          </w:p>
          <w:p w14:paraId="0A946391">
            <w:pPr>
              <w:pStyle w:val="11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短按2次（间隔1秒），切换为非管理状态</w:t>
            </w:r>
          </w:p>
        </w:tc>
      </w:tr>
      <w:tr w14:paraId="4C537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000000" w:fill="2E75B5" w:themeFill="accent1" w:themeFillShade="BF"/>
            <w:vAlign w:val="center"/>
          </w:tcPr>
          <w:p w14:paraId="5C93776B">
            <w:pPr>
              <w:widowControl/>
              <w:jc w:val="left"/>
              <w:rPr>
                <w:rFonts w:hint="eastAsia" w:ascii="宋体" w:hAnsi="宋体" w:cs="宋体"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PoE与电源特征</w:t>
            </w:r>
          </w:p>
        </w:tc>
      </w:tr>
      <w:tr w14:paraId="66367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3E751C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o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E端口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204933A3">
            <w:pPr>
              <w:widowControl/>
              <w:jc w:val="left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端口支持IEEE802.3af/at标准POE供电</w:t>
            </w:r>
          </w:p>
        </w:tc>
      </w:tr>
      <w:tr w14:paraId="7F55F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84EBC2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供电引脚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60B5BD0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默认仅支持1/2(+)，3/6(-)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,4芯供电</w:t>
            </w:r>
          </w:p>
        </w:tc>
      </w:tr>
      <w:tr w14:paraId="0EF55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DC177A1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最高单口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PoE功率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954B4A3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30W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标准IEEE802.3af/at</w:t>
            </w:r>
          </w:p>
        </w:tc>
      </w:tr>
      <w:tr w14:paraId="025B4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F08690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6647" w:type="dxa"/>
            <w:shd w:val="clear" w:color="auto" w:fill="auto"/>
            <w:vAlign w:val="top"/>
          </w:tcPr>
          <w:p w14:paraId="711FA400"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130W （AC100-240V）</w:t>
            </w:r>
          </w:p>
        </w:tc>
      </w:tr>
      <w:tr w14:paraId="42E71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BC6DD9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6647" w:type="dxa"/>
            <w:shd w:val="clear" w:color="auto" w:fill="auto"/>
            <w:vAlign w:val="top"/>
          </w:tcPr>
          <w:p w14:paraId="47673C69"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130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4FD75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27905C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0792B474">
            <w:pPr>
              <w:pStyle w:val="11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18"/>
                <w:szCs w:val="18"/>
              </w:rPr>
              <w:t>内置开关电源</w:t>
            </w:r>
            <w:r>
              <w:rPr>
                <w:rFonts w:hint="eastAsia" w:asciiTheme="majorEastAsia" w:hAnsiTheme="majorEastAsia" w:eastAsiaTheme="majorEastAsia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  <w:szCs w:val="18"/>
              </w:rPr>
              <w:t xml:space="preserve">AC：100～240V 50-60Hz </w:t>
            </w:r>
            <w:r>
              <w:rPr>
                <w:rFonts w:hint="eastAsia" w:asciiTheme="majorEastAsia" w:hAnsiTheme="majorEastAsia" w:eastAsiaTheme="majorEastAsia"/>
                <w:sz w:val="18"/>
                <w:szCs w:val="18"/>
                <w:lang w:val="en-US" w:eastAsia="zh-CN"/>
              </w:rPr>
              <w:t>2.3</w:t>
            </w:r>
            <w:r>
              <w:rPr>
                <w:rFonts w:hint="eastAsia" w:asciiTheme="majorEastAsia" w:hAnsiTheme="majorEastAsia" w:eastAsiaTheme="majorEastAsia"/>
                <w:sz w:val="18"/>
                <w:szCs w:val="18"/>
              </w:rPr>
              <w:t>A</w:t>
            </w:r>
          </w:p>
        </w:tc>
      </w:tr>
      <w:tr w14:paraId="510C0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77F7C837">
            <w:pPr>
              <w:pStyle w:val="11"/>
              <w:rPr>
                <w:rFonts w:hint="eastAsia" w:hAnsi="宋体"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物理</w:t>
            </w: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规格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 w14:paraId="2395D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3690D0D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17431A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-20～+55°C；5%～90% RH无凝结</w:t>
            </w:r>
          </w:p>
        </w:tc>
      </w:tr>
      <w:tr w14:paraId="7B71E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38A71AE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037173E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-40～+75°C；5%～95% RH无凝结</w:t>
            </w:r>
          </w:p>
        </w:tc>
      </w:tr>
      <w:tr w14:paraId="6FF08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6EE110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157B6D1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270.5*181*44.6mm</w:t>
            </w:r>
          </w:p>
        </w:tc>
      </w:tr>
      <w:tr w14:paraId="01D1C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EA9BE7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净重/毛重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0E373FD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2.2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 w14:paraId="6B22D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230B6B3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安装方式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10B3E935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桌面、壁挂式、1U/19寸机柜安装</w:t>
            </w:r>
          </w:p>
        </w:tc>
      </w:tr>
      <w:tr w14:paraId="3EABC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auto" w:fill="BDD6EE" w:themeFill="accent1" w:themeFillTint="66"/>
            <w:vAlign w:val="center"/>
          </w:tcPr>
          <w:p w14:paraId="7EC9012C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防雷/防护等级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156843B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端口防雷：4KV 8/20us；</w:t>
            </w:r>
          </w:p>
          <w:p w14:paraId="1195824D"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防护等级：IP30</w:t>
            </w:r>
          </w:p>
        </w:tc>
      </w:tr>
      <w:tr w14:paraId="78FBE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DF90C1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43CC60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CQ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C；</w:t>
            </w:r>
          </w:p>
          <w:p w14:paraId="1F7F9D2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EN60950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367B6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59A409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13C921E3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  <w:tr w14:paraId="04CE3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4BFC0506">
            <w:pPr>
              <w:widowControl/>
              <w:jc w:val="left"/>
              <w:rPr>
                <w:rFonts w:hint="default" w:ascii="宋体" w:hAnsi="宋体" w:cs="宋体"/>
                <w:b/>
                <w:kern w:val="0"/>
                <w:sz w:val="18"/>
                <w:szCs w:val="18"/>
                <w:lang w:val="en-US"/>
              </w:rPr>
            </w:pPr>
            <w:r>
              <w:rPr>
                <w:rFonts w:hint="eastAsia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软件功能</w:t>
            </w:r>
          </w:p>
        </w:tc>
      </w:tr>
      <w:tr w14:paraId="1CC1E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210C8C7">
            <w:pPr>
              <w:pStyle w:val="10"/>
              <w:spacing w:before="100" w:beforeAutospacing="1" w:after="100" w:afterAutospacing="1"/>
              <w:ind w:firstLine="0" w:firstLineChars="0"/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管理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2EF70724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支持端口状态显示</w:t>
            </w:r>
          </w:p>
          <w:p w14:paraId="4C0CC327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支持端口流量统计</w:t>
            </w:r>
          </w:p>
          <w:p w14:paraId="22C3EEFE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支持端口双工/协商速率配置</w:t>
            </w:r>
          </w:p>
          <w:p w14:paraId="3F1B5BF1">
            <w:pPr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支持IEEE802.3x流控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配置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（全双工）</w:t>
            </w:r>
          </w:p>
        </w:tc>
      </w:tr>
      <w:tr w14:paraId="13E90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775B8BD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生成树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178C506C">
            <w:pPr>
              <w:pStyle w:val="11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STP/RSTP</w:t>
            </w:r>
          </w:p>
        </w:tc>
      </w:tr>
      <w:tr w14:paraId="69F99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830812D">
            <w:pPr>
              <w:pStyle w:val="10"/>
              <w:spacing w:before="100" w:beforeAutospacing="1" w:after="100" w:afterAutospacing="1"/>
              <w:ind w:firstLine="0" w:firstLineChars="0"/>
              <w:rPr>
                <w:rFonts w:hint="default" w:ascii="Arial" w:hAnsi="宋体" w:eastAsia="宋体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 xml:space="preserve">POE管理 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A924C5F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支持端口POE实时功率状态查看</w:t>
            </w:r>
          </w:p>
          <w:p w14:paraId="570EDDAE">
            <w:pPr>
              <w:rPr>
                <w:rFonts w:hint="eastAsia" w:ascii="宋体" w:hAnsi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支持端口POE输出开/关</w:t>
            </w:r>
          </w:p>
        </w:tc>
      </w:tr>
      <w:tr w14:paraId="275F6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1D4E9C3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VLAN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0D2D60FA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支持基于端口的IEEE802.1</w:t>
            </w:r>
            <w:r>
              <w:rPr>
                <w:rFonts w:hint="eastAsia" w:ascii="宋体" w:hAnsi="宋体" w:cs="宋体"/>
                <w:sz w:val="20"/>
                <w:lang w:val="en-US" w:eastAsia="zh-CN"/>
              </w:rPr>
              <w:t xml:space="preserve">Q </w:t>
            </w:r>
            <w:r>
              <w:rPr>
                <w:rFonts w:hint="eastAsia" w:ascii="宋体" w:hAnsi="宋体" w:eastAsia="宋体" w:cs="宋体"/>
                <w:sz w:val="20"/>
              </w:rPr>
              <w:t>VLAN</w:t>
            </w:r>
            <w:r>
              <w:rPr>
                <w:rFonts w:hint="eastAsia" w:ascii="宋体" w:hAnsi="宋体" w:cs="宋体"/>
                <w:sz w:val="20"/>
                <w:lang w:val="en-US" w:eastAsia="zh-CN"/>
              </w:rPr>
              <w:t>配置</w:t>
            </w:r>
            <w:r>
              <w:rPr>
                <w:rFonts w:hint="eastAsia" w:ascii="宋体" w:hAnsi="宋体" w:eastAsia="宋体" w:cs="宋体"/>
                <w:sz w:val="20"/>
              </w:rPr>
              <w:t>（4K个）,</w:t>
            </w:r>
          </w:p>
        </w:tc>
      </w:tr>
      <w:tr w14:paraId="1B0AD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C13C231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端口汇聚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12527CDE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支持静态聚合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LACP</w:t>
            </w:r>
          </w:p>
        </w:tc>
      </w:tr>
      <w:tr w14:paraId="07F3E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CE97F56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组播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3BBD4C37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支持IGMP Snooping v1/v2、最多支持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256</w:t>
            </w:r>
            <w:r>
              <w:rPr>
                <w:rFonts w:hint="eastAsia" w:ascii="宋体" w:hAnsi="宋体" w:eastAsia="宋体" w:cs="宋体"/>
                <w:sz w:val="18"/>
              </w:rPr>
              <w:t>个组播组</w:t>
            </w:r>
          </w:p>
        </w:tc>
      </w:tr>
      <w:tr w14:paraId="48DBD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F4EB25E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镜像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1D46875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支持基本端口流量镜像</w:t>
            </w:r>
          </w:p>
        </w:tc>
      </w:tr>
      <w:tr w14:paraId="50F8B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6E6312A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QoS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3F42CBC1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基于L2/L3/L4/UDF的ACL</w:t>
            </w:r>
          </w:p>
          <w:p w14:paraId="32C99C8B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基于CoS/DSCP流分类</w:t>
            </w:r>
          </w:p>
          <w:p w14:paraId="32F21320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拥塞避免</w:t>
            </w:r>
          </w:p>
          <w:p w14:paraId="3E43AEC7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每端口8队列，支持SP/WDRR/SP+WDRR调度方式</w:t>
            </w:r>
          </w:p>
          <w:p w14:paraId="655B27AD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基于端口、队列的shaping</w:t>
            </w:r>
          </w:p>
        </w:tc>
      </w:tr>
      <w:tr w14:paraId="0399B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AD1409E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安全特性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0FA9303F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支持广播风暴抑制</w:t>
            </w:r>
          </w:p>
          <w:p w14:paraId="562E85C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支持端口限速</w:t>
            </w:r>
          </w:p>
          <w:p w14:paraId="1503CD6B">
            <w:pPr>
              <w:pStyle w:val="11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支持端口隔离 </w:t>
            </w:r>
          </w:p>
          <w:p w14:paraId="3D4F4E53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支持48个CPU队列保护</w:t>
            </w:r>
          </w:p>
          <w:p w14:paraId="77802EF0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基于端口的MAC学习数目限制</w:t>
            </w:r>
          </w:p>
          <w:p w14:paraId="259E18E6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黑洞MAC</w:t>
            </w:r>
          </w:p>
          <w:p w14:paraId="4235C983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基于端口的广播风暴抑制</w:t>
            </w:r>
          </w:p>
          <w:p w14:paraId="7ECD86E0">
            <w:pPr>
              <w:pStyle w:val="11"/>
              <w:tabs>
                <w:tab w:val="center" w:pos="3215"/>
              </w:tabs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物理端口之间基于VLAN隔离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0A5AF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4A6575A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管理与维护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3C13E5C3">
            <w:pPr>
              <w:rPr>
                <w:rFonts w:hint="eastAsia" w:ascii="宋体" w:hAnsi="宋体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支持WEB网管</w:t>
            </w:r>
          </w:p>
          <w:p w14:paraId="6B23144A">
            <w:pPr>
              <w:rPr>
                <w:rFonts w:hint="eastAsia" w:ascii="宋体" w:hAnsi="宋体" w:eastAsia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支持一键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还原</w:t>
            </w:r>
          </w:p>
          <w:p w14:paraId="7D831F05">
            <w:pPr>
              <w:rPr>
                <w:rFonts w:hint="eastAsia" w:ascii="宋体" w:hAnsi="宋体" w:cs="宋体"/>
                <w:color w:val="FF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18"/>
              </w:rPr>
              <w:t>支持</w:t>
            </w:r>
            <w:r>
              <w:rPr>
                <w:rFonts w:hint="eastAsia" w:ascii="宋体" w:hAnsi="宋体" w:cs="宋体"/>
                <w:color w:val="FF0000"/>
                <w:sz w:val="18"/>
                <w:lang w:val="en-US" w:eastAsia="zh-CN"/>
              </w:rPr>
              <w:t>ONV云管理平台</w:t>
            </w:r>
          </w:p>
          <w:p w14:paraId="4D77A3BB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cs="宋体"/>
                <w:color w:val="FF0000"/>
                <w:sz w:val="18"/>
                <w:lang w:val="en-US" w:eastAsia="zh-CN"/>
              </w:rPr>
              <w:t xml:space="preserve">支持手机APP移动端运维管理 </w:t>
            </w:r>
          </w:p>
        </w:tc>
      </w:tr>
      <w:tr w14:paraId="11136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A892281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系统要求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1184A03F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Web浏览器：Mozilla火狐2.5或更高版本，谷歌浏览器chrome V42或更高版本，</w:t>
            </w:r>
          </w:p>
          <w:p w14:paraId="6B81D5B3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5类及以上以太网电缆;</w:t>
            </w:r>
          </w:p>
          <w:p w14:paraId="3673A885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TCP/ IP，网络适配器和网络操作系统（如Microsoft Windows，Linux或Mac OS X）安装在网络中的每台计算机上5类及以上以太网电缆;</w:t>
            </w:r>
          </w:p>
        </w:tc>
      </w:tr>
    </w:tbl>
    <w:p w14:paraId="46424467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53DD70F0">
      <w:pPr>
        <w:spacing w:line="360" w:lineRule="auto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产品尺寸规格</w:t>
      </w:r>
    </w:p>
    <w:p w14:paraId="20CF42B6">
      <w:pPr>
        <w:spacing w:line="360" w:lineRule="auto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5272405" cy="4150360"/>
            <wp:effectExtent l="0" t="0" r="635" b="10160"/>
            <wp:wrapNone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15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3CFE3A">
      <w:pPr>
        <w:spacing w:line="360" w:lineRule="auto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029B46CE">
      <w:pPr>
        <w:spacing w:line="360" w:lineRule="auto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77AB23E4">
      <w:pPr>
        <w:spacing w:line="360" w:lineRule="auto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14017D5">
      <w:pPr>
        <w:spacing w:line="360" w:lineRule="auto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0AC2AFE0">
      <w:pPr>
        <w:spacing w:line="360" w:lineRule="auto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2E44CB91">
      <w:pPr>
        <w:spacing w:line="360" w:lineRule="auto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2E963AD4">
      <w:pPr>
        <w:spacing w:line="360" w:lineRule="auto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560C5D68">
      <w:pPr>
        <w:spacing w:line="360" w:lineRule="auto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880A3EC">
      <w:pPr>
        <w:pStyle w:val="10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1E12510B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6"/>
        <w:tblpPr w:leftFromText="180" w:rightFromText="180" w:vertAnchor="text" w:horzAnchor="margin" w:tblpXSpec="center" w:tblpY="358"/>
        <w:tblW w:w="82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4"/>
        <w:gridCol w:w="4873"/>
        <w:gridCol w:w="709"/>
        <w:gridCol w:w="709"/>
      </w:tblGrid>
      <w:tr w14:paraId="7FC70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F7F51F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2C9BD0F5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5F0A0D6A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1836A24E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74962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10BE551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67F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16口全千兆e网管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6D4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39DA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0F448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0BBD7CA4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CCA4A85">
            <w:pPr>
              <w:rPr>
                <w:rFonts w:hint="eastAsia" w:ascii="Calibri" w:hAnsi="Calibri" w:eastAsia="宋体" w:cs="Times New Roman"/>
                <w:kern w:val="2"/>
                <w:sz w:val="18"/>
                <w:szCs w:val="20"/>
                <w:lang w:val="en-US" w:eastAsia="zh-CN" w:bidi="ar-SA"/>
              </w:rPr>
            </w:pPr>
            <w:r>
              <w:rPr>
                <w:rFonts w:hint="eastAsia"/>
                <w:sz w:val="18"/>
                <w:szCs w:val="20"/>
              </w:rPr>
              <w:t>AC电源线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1E7C5AC">
            <w:pPr>
              <w:jc w:val="center"/>
              <w:rPr>
                <w:rFonts w:hint="eastAsia" w:ascii="Calibri" w:hAnsi="Calibri" w:eastAsia="宋体" w:cs="Times New Roman"/>
                <w:kern w:val="2"/>
                <w:sz w:val="18"/>
                <w:szCs w:val="20"/>
                <w:lang w:val="en-US" w:eastAsia="zh-CN" w:bidi="ar-SA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A3CF9F8">
            <w:pPr>
              <w:jc w:val="center"/>
              <w:rPr>
                <w:rFonts w:hint="eastAsia" w:ascii="Calibri" w:hAnsi="Calibri" w:eastAsia="宋体" w:cs="Times New Roman"/>
                <w:kern w:val="2"/>
                <w:sz w:val="18"/>
                <w:szCs w:val="20"/>
                <w:lang w:val="en-US" w:eastAsia="zh-CN" w:bidi="ar-SA"/>
              </w:rPr>
            </w:pPr>
            <w:r>
              <w:rPr>
                <w:rFonts w:hint="eastAsia"/>
                <w:sz w:val="18"/>
                <w:szCs w:val="20"/>
                <w:lang w:val="en-US" w:eastAsia="zh-CN"/>
              </w:rPr>
              <w:t>套</w:t>
            </w:r>
          </w:p>
        </w:tc>
      </w:tr>
      <w:tr w14:paraId="391AD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25F0FD9E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D2B3F15">
            <w:pPr>
              <w:rPr>
                <w:rFonts w:hint="eastAsia" w:ascii="Calibri" w:hAnsi="Calibri" w:eastAsia="宋体" w:cs="Times New Roman"/>
                <w:kern w:val="2"/>
                <w:sz w:val="18"/>
                <w:szCs w:val="20"/>
                <w:lang w:val="en-US" w:eastAsia="zh-CN" w:bidi="ar-SA"/>
              </w:rPr>
            </w:pPr>
            <w:r>
              <w:rPr>
                <w:rFonts w:hint="eastAsia"/>
                <w:sz w:val="18"/>
                <w:szCs w:val="20"/>
              </w:rPr>
              <w:t>五金安装套件</w:t>
            </w:r>
            <w:r>
              <w:rPr>
                <w:rFonts w:hint="eastAsia"/>
                <w:sz w:val="18"/>
                <w:szCs w:val="20"/>
                <w:lang w:val="en-US" w:eastAsia="zh-CN"/>
              </w:rPr>
              <w:t>(挂耳)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F4886F6">
            <w:pPr>
              <w:jc w:val="center"/>
              <w:rPr>
                <w:rFonts w:hint="eastAsia" w:ascii="Calibri" w:hAnsi="Calibri" w:eastAsia="宋体" w:cs="Times New Roman"/>
                <w:kern w:val="2"/>
                <w:sz w:val="18"/>
                <w:szCs w:val="20"/>
                <w:lang w:val="en-US" w:eastAsia="zh-CN" w:bidi="ar-SA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A29FD40">
            <w:pPr>
              <w:jc w:val="center"/>
              <w:rPr>
                <w:rFonts w:ascii="Calibri" w:hAnsi="Calibri" w:eastAsia="宋体" w:cs="Times New Roman"/>
                <w:kern w:val="2"/>
                <w:sz w:val="18"/>
                <w:szCs w:val="20"/>
                <w:lang w:val="en-US" w:eastAsia="zh-CN" w:bidi="ar-SA"/>
              </w:rPr>
            </w:pPr>
            <w:r>
              <w:rPr>
                <w:sz w:val="18"/>
                <w:szCs w:val="20"/>
              </w:rPr>
              <w:t>对</w:t>
            </w:r>
          </w:p>
        </w:tc>
      </w:tr>
      <w:tr w14:paraId="71A04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70E0C8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C2635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00E12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FEDD7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7D8A8F71">
      <w:pPr>
        <w:rPr>
          <w:rFonts w:hint="eastAsia"/>
          <w:lang w:val="en-US" w:eastAsia="zh-CN"/>
        </w:rPr>
      </w:pPr>
    </w:p>
    <w:p w14:paraId="21295772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7A5D80E7">
      <w:pPr>
        <w:pStyle w:val="12"/>
        <w:wordWrap w:val="0"/>
        <w:jc w:val="righ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54E542ED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6"/>
        <w:tblW w:w="8235" w:type="dxa"/>
        <w:tblInd w:w="1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5014"/>
        <w:gridCol w:w="1515"/>
      </w:tblGrid>
      <w:tr w14:paraId="74A16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9FE7949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bookmarkStart w:id="2" w:name="OLE_LINK7"/>
            <w:bookmarkStart w:id="3" w:name="OLE_LINK6"/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5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5BF847D6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42C263A7">
            <w:pPr>
              <w:widowControl/>
              <w:jc w:val="center"/>
              <w:rPr>
                <w:rFonts w:hint="eastAsia" w:ascii="Arial" w:hAnsi="Arial" w:eastAsia="宋体" w:cs="Arial"/>
                <w:b/>
                <w:kern w:val="0"/>
                <w:sz w:val="21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  <w:lang w:val="en-US" w:eastAsia="zh-CN"/>
              </w:rPr>
              <w:t>建议电源功率</w:t>
            </w:r>
          </w:p>
        </w:tc>
      </w:tr>
      <w:tr w14:paraId="67E11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64EB52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H53168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PFM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A</w:t>
            </w:r>
          </w:p>
        </w:tc>
        <w:tc>
          <w:tcPr>
            <w:tcW w:w="6529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 w14:paraId="06E8F833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e网管8个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8个1000M 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口支持IEEE 802.3af/at 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国际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标准，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置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130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W电源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支持1U/19寸机柜安装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</w:tc>
      </w:tr>
      <w:tr w14:paraId="0100B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0D9F4CA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说明：本产品默认不配套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SFP</w:t>
            </w: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光模块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和电源</w:t>
            </w: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，如需选购，请参考配件产品信息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。</w:t>
            </w:r>
          </w:p>
        </w:tc>
      </w:tr>
      <w:bookmarkEnd w:id="2"/>
      <w:bookmarkEnd w:id="3"/>
    </w:tbl>
    <w:p w14:paraId="1DA034BC">
      <w:pPr>
        <w:rPr>
          <w:rFonts w:hint="eastAsia"/>
          <w:b/>
          <w:color w:val="ED7D31" w:themeColor="accent2"/>
          <w:sz w:val="20"/>
          <w:szCs w:val="15"/>
          <w14:textFill>
            <w14:solidFill>
              <w14:schemeClr w14:val="accent2"/>
            </w14:solidFill>
          </w14:textFill>
        </w:rPr>
      </w:pPr>
    </w:p>
    <w:p w14:paraId="0223D606">
      <w:pP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</w:p>
    <w:p w14:paraId="169C9AA4">
      <w:pP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  <w:t>选配信息</w:t>
      </w:r>
    </w:p>
    <w:p w14:paraId="75D39124">
      <w:pPr>
        <w:rPr>
          <w:rFonts w:hint="eastAsia" w:eastAsia="宋体"/>
          <w:b/>
          <w:color w:val="0000FF"/>
          <w:sz w:val="22"/>
          <w:szCs w:val="18"/>
          <w:highlight w:val="lightGray"/>
          <w:lang w:val="en-US" w:eastAsia="zh-CN"/>
        </w:rPr>
      </w:pPr>
      <w:r>
        <w:rPr>
          <w:rFonts w:hint="eastAsia"/>
          <w:b/>
          <w:color w:val="0000FF"/>
          <w:sz w:val="22"/>
          <w:szCs w:val="18"/>
          <w:highlight w:val="lightGray"/>
          <w:lang w:val="en-US" w:eastAsia="zh-CN"/>
        </w:rPr>
        <w:t>光模块选型表</w:t>
      </w:r>
    </w:p>
    <w:tbl>
      <w:tblPr>
        <w:tblStyle w:val="7"/>
        <w:tblpPr w:leftFromText="180" w:rightFromText="180" w:vertAnchor="text" w:horzAnchor="margin" w:tblpXSpec="center" w:tblpY="357"/>
        <w:tblW w:w="8479" w:type="dxa"/>
        <w:tblInd w:w="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30"/>
        <w:gridCol w:w="5021"/>
        <w:gridCol w:w="705"/>
      </w:tblGrid>
      <w:tr w14:paraId="05CF9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0B2EEA1A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30" w:type="dxa"/>
          </w:tcPr>
          <w:p w14:paraId="26C34977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021" w:type="dxa"/>
          </w:tcPr>
          <w:p w14:paraId="47093D09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705" w:type="dxa"/>
          </w:tcPr>
          <w:p w14:paraId="4538A78C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6E555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vAlign w:val="center"/>
          </w:tcPr>
          <w:p w14:paraId="701008B4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1.25G光模块</w:t>
            </w:r>
          </w:p>
        </w:tc>
        <w:tc>
          <w:tcPr>
            <w:tcW w:w="1830" w:type="dxa"/>
            <w:vAlign w:val="center"/>
          </w:tcPr>
          <w:p w14:paraId="7B1053FA">
            <w:pPr>
              <w:rPr>
                <w:rFonts w:hint="default" w:ascii="Arial" w:hAnsi="Arial" w:eastAsia="宋体" w:cs="Arial"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2630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</w:tcPr>
          <w:p w14:paraId="6815211B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工业级SFP光模块，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4BCEE604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532FB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4EDDC3E9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39A6A528">
            <w:pPr>
              <w:rPr>
                <w:rFonts w:hint="default" w:ascii="Arial" w:hAnsi="Arial" w:eastAsia="宋体" w:cs="Arial"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2632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</w:tcPr>
          <w:p w14:paraId="1D534CDC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工业级SFP光模块，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模双纤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default" w:ascii="Arial" w:hAnsi="Arial" w:cs="Arial"/>
                <w:sz w:val="18"/>
                <w:szCs w:val="21"/>
              </w:rPr>
              <w:t>0nm，传输距离：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68CBF06A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5E099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74E1A92D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3771AE7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3FB34657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15769F80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4654F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6F7BAC79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14F65AD1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3BB6DB61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7DC716A8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4B0B4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14B1A52C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DD3B1AF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2612-T-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G-</w:t>
            </w:r>
            <w:r>
              <w:rPr>
                <w:rFonts w:hint="default" w:ascii="Arial" w:hAnsi="Arial" w:cs="Arial"/>
                <w:sz w:val="20"/>
                <w:szCs w:val="21"/>
              </w:rPr>
              <w:t>SC</w:t>
            </w:r>
          </w:p>
        </w:tc>
        <w:tc>
          <w:tcPr>
            <w:tcW w:w="5021" w:type="dxa"/>
            <w:vAlign w:val="top"/>
          </w:tcPr>
          <w:p w14:paraId="68523DCD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739F129F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75E6B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6A51F51F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7AD39F0C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2613-R-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G-</w:t>
            </w:r>
            <w:r>
              <w:rPr>
                <w:rFonts w:hint="default" w:ascii="Arial" w:hAnsi="Arial" w:cs="Arial"/>
                <w:sz w:val="20"/>
                <w:szCs w:val="21"/>
              </w:rPr>
              <w:t>SC</w:t>
            </w:r>
          </w:p>
        </w:tc>
        <w:tc>
          <w:tcPr>
            <w:tcW w:w="5021" w:type="dxa"/>
            <w:vAlign w:val="top"/>
          </w:tcPr>
          <w:p w14:paraId="65F96625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0E807CC9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</w:tbl>
    <w:p w14:paraId="1D783A80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</w:p>
    <w:p w14:paraId="72310C24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</w:p>
    <w:p w14:paraId="3821D11D">
      <w:pPr>
        <w:rPr>
          <w:rFonts w:hint="eastAsia"/>
          <w:b/>
          <w:bCs/>
          <w:color w:val="ED7D31" w:themeColor="accent2"/>
          <w:sz w:val="21"/>
          <w:szCs w:val="21"/>
          <w:highlight w:val="none"/>
          <w:lang w:eastAsia="zh-CN"/>
          <w14:textFill>
            <w14:solidFill>
              <w14:schemeClr w14:val="accent2"/>
            </w14:solidFill>
          </w14:textFill>
        </w:rPr>
      </w:pPr>
    </w:p>
    <w:p w14:paraId="795A9735">
      <w:pPr>
        <w:rPr>
          <w:rFonts w:hint="eastAsia"/>
          <w:b/>
          <w:bCs/>
          <w:color w:val="FFC000"/>
          <w:sz w:val="24"/>
          <w:szCs w:val="24"/>
          <w:highlight w:val="red"/>
          <w:lang w:eastAsia="zh-CN"/>
        </w:rPr>
      </w:pPr>
    </w:p>
    <w:p w14:paraId="51EC3B99">
      <w:pPr>
        <w:pStyle w:val="10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21708EDB">
      <w:pPr>
        <w:pStyle w:val="10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3576320</wp:posOffset>
            </wp:positionH>
            <wp:positionV relativeFrom="line">
              <wp:posOffset>436245</wp:posOffset>
            </wp:positionV>
            <wp:extent cx="1628775" cy="1762125"/>
            <wp:effectExtent l="0" t="0" r="1905" b="5715"/>
            <wp:wrapNone/>
            <wp:docPr id="15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 descr="200911711109896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493395</wp:posOffset>
            </wp:positionV>
            <wp:extent cx="600075" cy="228600"/>
            <wp:effectExtent l="0" t="0" r="9525" b="0"/>
            <wp:wrapNone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3E58FFAB">
      <w:pPr>
        <w:pStyle w:val="10"/>
        <w:spacing w:beforeLines="50" w:afterLines="50"/>
        <w:ind w:firstLine="1084" w:firstLineChars="6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46E0E933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67D110A9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4018D4BE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443B6B5E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址：http://www.onv.com.cn</w:t>
      </w:r>
    </w:p>
    <w:p w14:paraId="46E9340D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54DC70E8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7CA059DB">
      <w:pPr>
        <w:pStyle w:val="12"/>
        <w:rPr>
          <w:rFonts w:ascii="宋体" w:hAnsi="宋体" w:eastAsia="宋体"/>
          <w:sz w:val="18"/>
          <w:szCs w:val="18"/>
        </w:rPr>
      </w:pPr>
    </w:p>
    <w:p w14:paraId="2CE77136">
      <w:pPr>
        <w:pStyle w:val="12"/>
        <w:rPr>
          <w:rFonts w:ascii="宋体" w:hAnsi="宋体" w:eastAsia="宋体"/>
          <w:sz w:val="18"/>
          <w:szCs w:val="18"/>
        </w:rPr>
      </w:pPr>
    </w:p>
    <w:p w14:paraId="1E7CC1BE">
      <w:pPr>
        <w:pStyle w:val="12"/>
        <w:rPr>
          <w:rFonts w:ascii="宋体" w:hAnsi="宋体" w:eastAsia="宋体"/>
          <w:sz w:val="18"/>
          <w:szCs w:val="18"/>
        </w:rPr>
      </w:pPr>
    </w:p>
    <w:p w14:paraId="6BA38903">
      <w:pPr>
        <w:pStyle w:val="12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70B577FC">
      <w:pPr>
        <w:pStyle w:val="12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5D40128F"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4AA12708">
      <w:pPr>
        <w:pStyle w:val="12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2702E7A2">
      <w:pPr>
        <w:pStyle w:val="12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6855F794">
      <w:pPr>
        <w:pStyle w:val="12"/>
        <w:wordWrap w:val="0"/>
        <w:jc w:val="righ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16896">
    <w:pPr>
      <w:pStyle w:val="3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-165100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4966335" y="989076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B0C2D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05pt;margin-top:-13pt;height:29.25pt;width:121.5pt;z-index:251661312;mso-width-relative:page;mso-height-relative:page;" filled="f" stroked="f" coordsize="21600,21600" o:gfxdata="UEsDBAoAAAAAAIdO4kAAAAAAAAAAAAAAAAAEAAAAZHJzL1BLAwQUAAAACACHTuJAWr4k4dsAAAAK&#10;AQAADwAAAGRycy9kb3ducmV2LnhtbE2Py07DMBBF90j8gzVI7FonrhK1IU6FIlVIiC5aumE3id0k&#10;wo8Quw/4eoZVWc7M0Z1zy/XVGnbWUxi8k5DOE2DatV4NrpNweN/MlsBCRKfQeKclfOsA6+r+rsRC&#10;+Yvb6fM+doxCXChQQh/jWHAe2l5bDHM/ake3o58sRhqnjqsJLxRuDRdJknOLg6MPPY667nX7uT9Z&#10;Ca/1Zou7Rtjlj6lf3o7P49fhI5Py8SFNnoBFfY03GP70SR0qcmr8yanAjIR8JVJCJcxETqWIWC0y&#10;2jQSFiIDXpX8f4XqF1BLAwQUAAAACACHTuJAtAZWYUcCAAByBAAADgAAAGRycy9lMm9Eb2MueG1s&#10;rVTNjtMwEL4j8Q6W7zRp059t1XRVtipCWrErFcTZdZwmku0xttukPAC8wZ64cOe5+hyMk3S3LBz2&#10;wMUZe0bfzPfNTObXtZLkIKwrQae034spEZpDVupdSj99XL+5osR5pjMmQYuUHoWj14vXr+aVmYkB&#10;FCAzYQmCaDerTEoL780sihwvhGKuB0ZodOZgFfN4tbsos6xCdCWjQRyPowpsZixw4Ry+rlon7RDt&#10;SwAhz0suVsD3SmjfolohmUdKriiNo4um2jwX3N/luROeyJQiU9+cmATtbTijxZzNdpaZouRdCewl&#10;JTzjpFipMekj1Ip5Rva2/AtKldyCg9z3OKioJdIogiz68TNtNgUzouGCUjvzKLr7f7D8w+HekjJL&#10;aUKJZgobfnr4fvrx6/TzG0mCPJVxM4zaGIzz9VuocWjO7w4fA+s6typ8kQ9B/3A6HifJiJJjSqdX&#10;03gy7oQWtSc8AIyGSTzCHnCMSCb94WQUIKMnJGOdfydAkWCk1GIjG33Z4db5NvQcEhJrWJdSNs2U&#10;mlQpHScI/4cHwaXGHIFPW3ewfL2tO5JbyI7I0UI7JM7wdYnJb5nz98ziVGC9uDf+Do9cAiaBzqKk&#10;APv1X+8hHpuFXkoqnLKUui97ZgUl8r3GNk77w2EYy+YyHE0GeLGXnu2lR+/VDeAg93FDDW/MEO/l&#10;2cwtqM+4XsuQFV1Mc8ydUn82b3w7+7ieXCyXTRAOomH+Vm8MD9CtaMu9h7xslA4ytdp06uEoNr3q&#10;1ibM+uW9iXr6VS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q+JOHbAAAACgEAAA8AAAAAAAAA&#10;AQAgAAAAIgAAAGRycy9kb3ducmV2LnhtbFBLAQIUABQAAAAIAIdO4kC0BlZhRwIAAHIEAAAOAAAA&#10;AAAAAAEAIAAAACoBAABkcnMvZTJvRG9jLnhtbFBLBQYAAAAABgAGAFkBAADj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00BB0C2D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26ED9A"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26ED9A">
                    <w:pPr>
                      <w:pStyle w:val="3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876820">
    <w:pPr>
      <w:pStyle w:val="3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4547235</wp:posOffset>
              </wp:positionH>
              <wp:positionV relativeFrom="paragraph">
                <wp:posOffset>9369425</wp:posOffset>
              </wp:positionV>
              <wp:extent cx="1543050" cy="371475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70CEF3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9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9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9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1A705CFA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8.05pt;margin-top:737.75pt;height:29.25pt;width:121.5pt;z-index:251663360;mso-width-relative:page;mso-height-relative:page;" filled="f" stroked="f" coordsize="21600,21600" o:gfxdata="UEsDBAoAAAAAAIdO4kAAAAAAAAAAAAAAAAAEAAAAZHJzL1BLAwQUAAAACACHTuJAK5gjDNwAAAAN&#10;AQAADwAAAGRycy9kb3ducmV2LnhtbE2PS0/DMBCE70j8B2uRuFE7pe4jxKlQpAoJwaGlF26b2E0i&#10;/Aix+4Bfz3KC4858mp0p1hdn2cmMsQ9eQTYRwIxvgu59q2D/trlbAosJvUYbvFHwZSKsy+urAnMd&#10;zn5rTrvUMgrxMUcFXUpDznlsOuMwTsJgPHmHMDpMdI4t1yOeKdxZPhVizh32nj50OJiqM83H7ugU&#10;PFebV9zWU7f8ttXTy+Fx+Ny/S6VubzLxACyZS/qD4bc+VYeSOtXh6HVkVsEim2eEkjFbSAmMkJVc&#10;kVSTJO9nAnhZ8P8ryh9QSwMEFAAAAAgAh07iQElIwiA4AgAAZgQAAA4AAABkcnMvZTJvRG9jLnht&#10;bK1UzY7TMBC+I/EOlu80/S9UTVdlqyKkil2pIM6u4zSWbI+x3SblAeAN9sSFO8/V52CcpN2ycNgD&#10;F3fsmXwz3zcznd1UWpGDcF6CSWmv06VEGA6ZNLuUfvq4evWaEh+YyZgCI1J6FJ7ezF++mJV2KvpQ&#10;gMqEIwhi/LS0KS1CsNMk8bwQmvkOWGHQmYPTLODV7ZLMsRLRtUr63e44KcFl1gEX3uPrsnHSFtE9&#10;BxDyXHKxBL7XwoQG1QnFAlLyhbSezutq81zwcJfnXgSiUopMQ31iErS38UzmMzbdOWYLydsS2HNK&#10;eMJJM2kw6QVqyQIjeyf/gtKSO/CQhw4HnTREakWQRa/7RJtNwayouaDU3l5E9/8Pln843Dsis5SO&#10;KTFMY8NPD99PP36dfn4j4yhPaf0UozYW40L1FiocmvO7x8fIusqdjr/Ih6AfxT1exBVVIDx+NBoO&#10;uiN0cfQNJr3hZBRhksevrfPhnQBNopFSh82rNWWHtQ9N6DkkJjOwkkrVDVSGlMhggPB/eBBcGcwR&#10;OTS1RitU26oltoXsiLwcNIPhLV9JTL5mPtwzh5OA9eKuhDs8cgWYBFqLkgLc13+9x3hsEHopKXGy&#10;Uuq/7JkTlKj3Blv3pjccImyoL8PRpI8Xd+3ZXnvMXt8CDm8Pt9Ly2ozxQZ3N3IH+jCu1iFnRxQzH&#10;3CkNZ/M2NPOOK8nFYlEH4fBZFtZmY3mEbkRb7APkslY6ytRo06qH41f3ql2VON/X9zrq8e9h/h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rmCMM3AAAAA0BAAAPAAAAAAAAAAEAIAAAACIAAABkcnMv&#10;ZG93bnJldi54bWxQSwECFAAUAAAACACHTuJASUjCIDgCAABmBAAADgAAAAAAAAABACAAAAArAQAA&#10;ZHJzL2Uyb0RvYy54bWxQSwUGAAAAAAYABgBZAQAA1Q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2870CEF3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9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9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9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9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1A705CFA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-353060</wp:posOffset>
          </wp:positionV>
          <wp:extent cx="1047750" cy="400050"/>
          <wp:effectExtent l="0" t="0" r="3810" b="1143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59264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57C33CF8"/>
    <w:rsid w:val="01DC0462"/>
    <w:rsid w:val="02883C11"/>
    <w:rsid w:val="02E63266"/>
    <w:rsid w:val="03241D8D"/>
    <w:rsid w:val="054F0C3D"/>
    <w:rsid w:val="06DF01F6"/>
    <w:rsid w:val="073A4759"/>
    <w:rsid w:val="08A375A9"/>
    <w:rsid w:val="09306D58"/>
    <w:rsid w:val="0C2014DA"/>
    <w:rsid w:val="0C476042"/>
    <w:rsid w:val="0DCF4D92"/>
    <w:rsid w:val="0F0A6910"/>
    <w:rsid w:val="0F765FC2"/>
    <w:rsid w:val="11F10125"/>
    <w:rsid w:val="129A5707"/>
    <w:rsid w:val="13220896"/>
    <w:rsid w:val="150320AE"/>
    <w:rsid w:val="152310E7"/>
    <w:rsid w:val="16B261A6"/>
    <w:rsid w:val="1759690F"/>
    <w:rsid w:val="185A75A0"/>
    <w:rsid w:val="19C332D1"/>
    <w:rsid w:val="1A1F20BC"/>
    <w:rsid w:val="1A645102"/>
    <w:rsid w:val="1C6F7D1F"/>
    <w:rsid w:val="1D2F2E06"/>
    <w:rsid w:val="1DB530CD"/>
    <w:rsid w:val="1DD50166"/>
    <w:rsid w:val="1EEE63D2"/>
    <w:rsid w:val="200D2C44"/>
    <w:rsid w:val="20D1698D"/>
    <w:rsid w:val="20ED71CC"/>
    <w:rsid w:val="21A12914"/>
    <w:rsid w:val="228D26CE"/>
    <w:rsid w:val="22B06A9C"/>
    <w:rsid w:val="22D30A28"/>
    <w:rsid w:val="230F7587"/>
    <w:rsid w:val="23781FD3"/>
    <w:rsid w:val="26324A00"/>
    <w:rsid w:val="27C27465"/>
    <w:rsid w:val="2835183D"/>
    <w:rsid w:val="293C78E6"/>
    <w:rsid w:val="2A796214"/>
    <w:rsid w:val="2B05199B"/>
    <w:rsid w:val="2B603075"/>
    <w:rsid w:val="2CB12021"/>
    <w:rsid w:val="2CE660DE"/>
    <w:rsid w:val="2D8C1F00"/>
    <w:rsid w:val="2FE86443"/>
    <w:rsid w:val="302A2AC8"/>
    <w:rsid w:val="30A25EDE"/>
    <w:rsid w:val="325B41CA"/>
    <w:rsid w:val="35076310"/>
    <w:rsid w:val="366B1E74"/>
    <w:rsid w:val="369D6F2B"/>
    <w:rsid w:val="372617FE"/>
    <w:rsid w:val="383D5BA7"/>
    <w:rsid w:val="38756B4B"/>
    <w:rsid w:val="389B749B"/>
    <w:rsid w:val="38B44758"/>
    <w:rsid w:val="39763A64"/>
    <w:rsid w:val="3B50022F"/>
    <w:rsid w:val="3C674233"/>
    <w:rsid w:val="3D384155"/>
    <w:rsid w:val="3DCF50AC"/>
    <w:rsid w:val="3F52563E"/>
    <w:rsid w:val="404A6E7B"/>
    <w:rsid w:val="419378A9"/>
    <w:rsid w:val="41E21024"/>
    <w:rsid w:val="426D7A74"/>
    <w:rsid w:val="428A31E3"/>
    <w:rsid w:val="42FF3315"/>
    <w:rsid w:val="43366823"/>
    <w:rsid w:val="44211337"/>
    <w:rsid w:val="46D85D5E"/>
    <w:rsid w:val="46E91D19"/>
    <w:rsid w:val="4A130A82"/>
    <w:rsid w:val="4A3051D3"/>
    <w:rsid w:val="4AAD26EA"/>
    <w:rsid w:val="4B02784D"/>
    <w:rsid w:val="4F0A6516"/>
    <w:rsid w:val="4F404A86"/>
    <w:rsid w:val="50921B03"/>
    <w:rsid w:val="526F57C8"/>
    <w:rsid w:val="52AD4542"/>
    <w:rsid w:val="52BF5D78"/>
    <w:rsid w:val="52D71A9B"/>
    <w:rsid w:val="548D626A"/>
    <w:rsid w:val="579C7DA9"/>
    <w:rsid w:val="57C33CF8"/>
    <w:rsid w:val="58193FCD"/>
    <w:rsid w:val="593149A8"/>
    <w:rsid w:val="5A6537E0"/>
    <w:rsid w:val="5CA53870"/>
    <w:rsid w:val="5D2A3118"/>
    <w:rsid w:val="5DAE0887"/>
    <w:rsid w:val="5EA507C4"/>
    <w:rsid w:val="5EB96DA4"/>
    <w:rsid w:val="60561A1A"/>
    <w:rsid w:val="60DC2CC3"/>
    <w:rsid w:val="61354921"/>
    <w:rsid w:val="64C51278"/>
    <w:rsid w:val="656C3731"/>
    <w:rsid w:val="67144F21"/>
    <w:rsid w:val="68924DEB"/>
    <w:rsid w:val="68BE4CA4"/>
    <w:rsid w:val="69A73642"/>
    <w:rsid w:val="6A2E7435"/>
    <w:rsid w:val="6BC903C0"/>
    <w:rsid w:val="6D2C16A8"/>
    <w:rsid w:val="6D5A5F84"/>
    <w:rsid w:val="70952446"/>
    <w:rsid w:val="7330389A"/>
    <w:rsid w:val="73E334BB"/>
    <w:rsid w:val="74EC3B53"/>
    <w:rsid w:val="74F66A68"/>
    <w:rsid w:val="75F470FF"/>
    <w:rsid w:val="774D0AAD"/>
    <w:rsid w:val="77522B83"/>
    <w:rsid w:val="7873527F"/>
    <w:rsid w:val="7A682979"/>
    <w:rsid w:val="7BB50CE9"/>
    <w:rsid w:val="7C514AB0"/>
    <w:rsid w:val="7E43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2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  <w:style w:type="paragraph" w:customStyle="1" w:styleId="13">
    <w:name w:val="Table Text"/>
    <w:qFormat/>
    <w:uiPriority w:val="0"/>
    <w:pPr>
      <w:snapToGrid w:val="0"/>
      <w:spacing w:before="80" w:after="80"/>
    </w:pPr>
    <w:rPr>
      <w:rFonts w:ascii="Arial" w:hAnsi="Arial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2736</Words>
  <Characters>3953</Characters>
  <Lines>0</Lines>
  <Paragraphs>0</Paragraphs>
  <TotalTime>2</TotalTime>
  <ScaleCrop>false</ScaleCrop>
  <LinksUpToDate>false</LinksUpToDate>
  <CharactersWithSpaces>4088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一</cp:lastModifiedBy>
  <dcterms:modified xsi:type="dcterms:W3CDTF">2025-08-28T08:49:41Z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6B70EA7BD6EA4CCA883B47C2EC6194E2_13</vt:lpwstr>
  </property>
  <property fmtid="{D5CDD505-2E9C-101B-9397-08002B2CF9AE}" pid="4" name="KSOTemplateDocerSaveRecord">
    <vt:lpwstr>eyJoZGlkIjoiMDljYTA0ODM1OTE1ZmRlMjZmMWU1OWYwMjViNmNkNmEiLCJ1c2VySWQiOiIxNTk3NTUxMjQ0In0=</vt:lpwstr>
  </property>
</Properties>
</file>