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eastAsia" w:ascii="Arial" w:hAnsi="Arial" w:cs="Arial"/>
          <w:b/>
          <w:bCs/>
          <w:color w:val="404040" w:themeColor="text1" w:themeTint="BF"/>
          <w:sz w:val="28"/>
          <w:szCs w:val="2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Arial" w:hAnsi="Arial" w:cs="Arial"/>
          <w:b/>
          <w:bCs/>
          <w:color w:val="404040" w:themeColor="text1" w:themeTint="BF"/>
          <w:sz w:val="28"/>
          <w:szCs w:val="2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产品规格书</w:t>
      </w:r>
    </w:p>
    <w:p>
      <w:pPr>
        <w:spacing w:line="360" w:lineRule="auto"/>
        <w:jc w:val="left"/>
        <w:rPr>
          <w:rFonts w:hint="default" w:ascii="Arial" w:hAnsi="Arial" w:cs="Arial"/>
          <w:b/>
          <w:bCs/>
          <w:color w:val="0070C0"/>
          <w:sz w:val="48"/>
          <w:szCs w:val="48"/>
          <w:lang w:val="en-US" w:eastAsia="zh-CN"/>
        </w:rPr>
      </w:pPr>
      <w:r>
        <w:rPr>
          <w:rFonts w:hint="eastAsia" w:ascii="Arial" w:hAnsi="Arial" w:cs="Arial"/>
          <w:b/>
          <w:bCs/>
          <w:color w:val="0070C0"/>
          <w:sz w:val="48"/>
          <w:szCs w:val="48"/>
          <w:lang w:val="en-US" w:eastAsia="zh-CN"/>
        </w:rPr>
        <w:t>18口2.5G网管型PoE交换机</w:t>
      </w:r>
      <w:bookmarkStart w:id="0" w:name="OLE_LINK1"/>
      <w:r>
        <w:rPr>
          <w:rFonts w:hint="eastAsia" w:ascii="Arial" w:hAnsi="Arial" w:cs="Arial"/>
          <w:b/>
          <w:bCs/>
          <w:color w:val="0070C0"/>
          <w:sz w:val="48"/>
          <w:szCs w:val="48"/>
          <w:lang w:val="en-US" w:eastAsia="zh-CN"/>
        </w:rPr>
      </w:r>
      <w:r>
        <w:rPr>
          <w:rFonts w:hint="default" w:ascii="Arial" w:hAnsi="Arial" w:cs="Arial"/>
          <w:b/>
          <w:bCs/>
          <w:color w:val="0070C0"/>
          <w:sz w:val="48"/>
          <w:szCs w:val="48"/>
          <w:lang w:val="en-US" w:eastAsia="zh-CN"/>
        </w:rPr>
      </w:r>
    </w:p>
    <w:bookmarkEnd w:id="0"/>
    <w:p>
      <w:pPr>
        <w:spacing w:line="360" w:lineRule="auto"/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 w:ascii="Arial" w:hAnsi="Arial" w:cs="Arial"/>
          <w:b/>
          <w:bCs/>
          <w:color w:val="0070C0"/>
          <w:sz w:val="24"/>
          <w:szCs w:val="24"/>
          <w:lang w:val="en-US" w:eastAsia="zh-CN"/>
        </w:rPr>
        <w:t>(ONV-POE57016PFM)</w:t>
      </w:r>
    </w:p>
    <w:p>
      <w:pPr>
        <w:pStyle w:val="11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0500" cy="4321810"/>
            <wp:effectExtent l="0" t="0" r="6350" b="2540"/>
            <wp:docPr id="1" name="图片 1" descr="ONV-POE57016PFM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ONV-POE57016PFM 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32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"/>
        <w:bidi w:val="0"/>
        <w:rPr>
          <w:rFonts w:hint="default"/>
          <w:lang w:val="en-US" w:eastAsia="zh-CN"/>
        </w:rPr>
      </w:pPr>
    </w:p>
    <w:p>
      <w:pPr>
        <w:spacing w:line="360" w:lineRule="auto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default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产品概述</w:t>
      </w:r>
    </w:p>
    <w:p>
      <w:pPr>
        <w:pStyle w:val="11"/>
        <w:bidi w:val="0"/>
        <w:spacing w:line="360" w:lineRule="auto"/>
        <w:jc w:val="both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ONV-POE57016PFM是ONV自主研发的一款2.5G网管型PoE光纤交换机。它拥有16个10/100/1000/2500Base-T自适应RJ45端口和2个1/10G SFP+光纤端口。端口1-16支持IEEE802.3af/at PoE标准，单端口最大PoE功率为30W。作为PoE供电设备，它能自动检测并识别符合标准的受电设备，通过网线进行供电。可通过网线为无线AP、IP摄像机、VoIP电话、楼宇可视门禁对讲等PoE终端设备供电，满足网络环境高密度PoE供电需求。适用于酒店、校园、工厂宿舍及中小企业。</w:t>
      </w: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</w:p>
    <w:p>
      <w:pPr>
        <w:pStyle w:val="11"/>
        <w:bidi w:val="0"/>
        <w:spacing w:line="360" w:lineRule="auto"/>
        <w:jc w:val="both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ONV-POE57016PFM具备L3网管功能，支持IPv4/IPv6管理、动态路由转发、完善的安全防护机制、完整的ACL/QoS策略、丰富的VLAN功能，易于管理和维护。支持多种网络冗余协议，STP/RSTP/MSTP（&lt;50ms）和（ITU-T G.8032）ERPS，提升链路备份和网络可靠性。当单向网络故障时，可快速恢复通信，确保重要应用通信不中断。可根据实际应用需求，通过Web网管模式配置PoE电源管理、端口流量控制、VLAN划分、SNMP等多种应用服务。</w:t>
      </w: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</w:p>
    <w:p>
      <w:pPr>
        <w:pStyle w:val="11"/>
        <w:bidi w:val="0"/>
        <w:rPr>
          <w:rFonts w:hint="default"/>
          <w:lang w:val="en-US" w:eastAsia="zh-CN"/>
        </w:rPr>
      </w:pPr>
    </w:p>
    <w:p>
      <w:pPr>
        <w:spacing w:line="360" w:lineRule="auto"/>
        <w:jc w:val="left"/>
        <w:rPr>
          <w:rFonts w:hint="default" w:ascii="Arial" w:hAnsi="Arial" w:cs="Arial"/>
          <w:b/>
          <w:color w:val="548235" w:themeColor="accent6" w:themeShade="BF"/>
          <w:sz w:val="32"/>
          <w:szCs w:val="32"/>
          <w:lang w:val="en-US" w:eastAsia="zh-CN"/>
        </w:rPr>
      </w:pPr>
      <w:r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产品特性</w:t>
      </w:r>
    </w:p>
    <w:p>
      <w:pPr>
        <w:pStyle w:val="10"/>
        <w:numPr>
          <w:ilvl w:val="0"/>
          <w:numId w:val="1"/>
        </w:numPr>
        <w:spacing w:line="360" w:lineRule="auto"/>
        <w:ind w:firstLineChars="0"/>
        <w:jc w:val="left"/>
        <w:rPr>
          <w:rFonts w:hint="eastAsia" w:ascii="Arial" w:hAnsi="Arial" w:cs="Arial"/>
          <w:b/>
          <w:bCs w:val="0"/>
          <w:color w:val="0070C0"/>
          <w:sz w:val="21"/>
          <w:szCs w:val="21"/>
          <w:lang w:val="en-US" w:eastAsia="zh-CN"/>
        </w:rPr>
      </w:pPr>
      <w:bookmarkStart w:id="1" w:name="OLE_LINK4"/>
      <w:r>
        <w:rPr>
          <w:rFonts w:hint="eastAsia" w:ascii="Arial" w:hAnsi="Arial" w:cs="Arial"/>
          <w:b/>
          <w:bCs w:val="0"/>
          <w:color w:val="0070C0"/>
          <w:sz w:val="21"/>
          <w:szCs w:val="21"/>
          <w:lang w:val="en-US" w:eastAsia="zh-CN"/>
        </w:rPr>
        <w:t>2.5G接入，上联1/10G SFP+光纤端口</w:t>
      </w:r>
    </w:p>
    <w:p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支持无阻塞线速转发。</w:t>
      </w:r>
    </w:p>
    <w:p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支持基于IEEE 802.3x的全双工和基于背压的半双工。</w:t>
      </w: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</w:p>
    <w:p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支持2.5G RJ45端口与1/10G SFP+光纤端口组合，用户可灵活组建网络，满足各种场景需求。</w:t>
      </w:r>
    </w:p>
    <w:p>
      <w:pPr>
        <w:pStyle w:val="11"/>
        <w:bidi w:val="0"/>
        <w:rPr>
          <w:rFonts w:hint="eastAsia"/>
          <w:lang w:eastAsia="zh-CN"/>
        </w:rPr>
      </w:pPr>
    </w:p>
    <w:bookmarkEnd w:id="1"/>
    <w:p>
      <w:pPr>
        <w:pStyle w:val="10"/>
        <w:numPr>
          <w:ilvl w:val="0"/>
          <w:numId w:val="1"/>
        </w:numPr>
        <w:spacing w:line="360" w:lineRule="auto"/>
        <w:ind w:firstLineChars="0"/>
        <w:jc w:val="left"/>
        <w:rPr>
          <w:rFonts w:hint="default" w:ascii="Arial" w:hAnsi="Arial" w:eastAsia="微软雅黑" w:cs="Arial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 w:ascii="Arial" w:hAnsi="Arial" w:cs="Arial"/>
          <w:b/>
          <w:color w:val="0070C0"/>
          <w:sz w:val="21"/>
          <w:szCs w:val="21"/>
          <w:lang w:val="en-US" w:eastAsia="zh-CN"/>
        </w:rPr>
        <w:t>智能PoE供电</w:t>
      </w:r>
    </w:p>
    <w:p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符合IEEE802.3af/at PoE标准，自动识别PoE设备供电，不损坏非PoE设备。</w:t>
      </w:r>
    </w:p>
    <w:p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16个10/100/1000/2500Base-T RJ45端口支持PoE供电，满足安防监控、视频会议系统、无线覆盖等场景需求。</w:t>
      </w: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</w:p>
    <w:p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支持PoE网管功能，可通过网管配置实现PoE开关、端口功率状态监控和定时调度。</w:t>
      </w:r>
    </w:p>
    <w:p>
      <w:pPr>
        <w:pStyle w:val="11"/>
        <w:bidi w:val="0"/>
        <w:rPr>
          <w:rFonts w:hint="eastAsia"/>
          <w:sz w:val="21"/>
          <w:szCs w:val="21"/>
          <w:lang w:eastAsia="zh-CN"/>
        </w:rPr>
      </w:pPr>
    </w:p>
    <w:p>
      <w:pPr>
        <w:pStyle w:val="10"/>
        <w:numPr>
          <w:ilvl w:val="0"/>
          <w:numId w:val="1"/>
        </w:numPr>
        <w:spacing w:line="360" w:lineRule="auto"/>
        <w:ind w:firstLineChars="0"/>
        <w:jc w:val="left"/>
        <w:rPr>
          <w:rFonts w:hint="default" w:ascii="Arial" w:hAnsi="Arial" w:cs="Arial"/>
          <w:sz w:val="21"/>
          <w:szCs w:val="21"/>
          <w:lang w:val="en-US" w:eastAsia="zh-CN"/>
        </w:rPr>
      </w:pPr>
      <w:r>
        <w:rPr>
          <w:rFonts w:ascii="Arial" w:hAnsi="Arial" w:cs="Arial"/>
          <w:b/>
          <w:bCs/>
          <w:color w:val="0070C0"/>
          <w:sz w:val="21"/>
          <w:szCs w:val="21"/>
        </w:rPr>
        <w:t>强大的业务处理能力</w:t>
      </w:r>
      <w:r>
        <w:rPr>
          <w:rFonts w:hint="eastAsia" w:ascii="Arial" w:hAnsi="Arial" w:cs="Arial"/>
          <w:b/>
          <w:bCs/>
          <w:color w:val="0070C0"/>
          <w:sz w:val="21"/>
          <w:szCs w:val="21"/>
        </w:rPr>
      </w:r>
    </w:p>
    <w:p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支持ERPS环网和STP/RSTP/MSTP，消除二层环路，实现链路备份。</w:t>
      </w:r>
    </w:p>
    <w:p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支持IEEE802.1Q VLAN，用户可根据需求灵活划分VLAN、Voice VLAN及QinQ配置。</w:t>
      </w: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</w:p>
    <w:p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支持静态和动态聚合，有效提升链路带宽，实现负载均衡、链路备份，提高链路可靠性。</w:t>
      </w: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</w:p>
    <w:p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支持QoS，基于端口、基于802.1P和基于DSCP三种优先级模式，以及Equ、SP、WRR、SP+WRR四种队列调度算法。</w:t>
      </w: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</w:p>
    <w:p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支持ACL，通过配置匹配规则处理动作和时间权限过滤数据包，提供灵活的安全访问控制策略。</w:t>
      </w:r>
    </w:p>
    <w:p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支持IGMP V1/V2/V3组播协议，IGMP Snooping满足多终端高清视频监控和视频会议接入需求。</w:t>
      </w:r>
    </w:p>
    <w:p>
      <w:pPr>
        <w:pStyle w:val="11"/>
        <w:bidi w:val="0"/>
        <w:rPr>
          <w:rFonts w:hint="eastAsia"/>
          <w:lang w:eastAsia="zh-CN"/>
        </w:rPr>
      </w:pPr>
    </w:p>
    <w:p>
      <w:pPr>
        <w:pStyle w:val="10"/>
        <w:numPr>
          <w:ilvl w:val="0"/>
          <w:numId w:val="1"/>
        </w:numPr>
        <w:spacing w:line="360" w:lineRule="auto"/>
        <w:ind w:firstLineChars="0"/>
        <w:jc w:val="left"/>
        <w:rPr>
          <w:rFonts w:hint="default" w:ascii="Arial" w:hAnsi="Arial" w:cs="Arial"/>
          <w:b/>
          <w:bCs/>
          <w:color w:val="0070C0"/>
          <w:sz w:val="21"/>
          <w:szCs w:val="21"/>
          <w:lang w:val="en-US" w:eastAsia="zh-CN"/>
        </w:rPr>
      </w:pPr>
      <w:r>
        <w:rPr>
          <w:rFonts w:hint="default" w:ascii="Arial" w:hAnsi="Arial" w:cs="Arial"/>
          <w:b/>
          <w:bCs/>
          <w:color w:val="0070C0"/>
          <w:sz w:val="21"/>
          <w:szCs w:val="21"/>
          <w:lang w:val="en-US" w:eastAsia="zh-CN"/>
        </w:rPr>
        <w:t>安全性</w:t>
      </w:r>
    </w:p>
    <w:p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支持IP+MAC+端口+VLAN四元绑定功能。</w:t>
      </w:r>
    </w:p>
    <w:p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支持端口隔离和端口广播风暴抑制。</w:t>
      </w:r>
    </w:p>
    <w:p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支持802.1X认证，为局域网计算机提供认证功能，并根据认证结果控制受控端口的授权状态。</w:t>
      </w: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0"/>
        <w:numPr>
          <w:ilvl w:val="0"/>
          <w:numId w:val="1"/>
        </w:numPr>
        <w:spacing w:line="360" w:lineRule="auto"/>
        <w:ind w:firstLineChars="0"/>
        <w:jc w:val="left"/>
        <w:rPr>
          <w:rFonts w:hint="default" w:ascii="Arial" w:hAnsi="Arial" w:cs="Arial"/>
          <w:b/>
          <w:bCs/>
          <w:color w:val="0070C0"/>
          <w:sz w:val="21"/>
          <w:szCs w:val="21"/>
          <w:lang w:val="en-US" w:eastAsia="zh-CN"/>
        </w:rPr>
      </w:pPr>
      <w:r>
        <w:rPr>
          <w:rFonts w:hint="default" w:ascii="Arial" w:hAnsi="Arial" w:cs="Arial"/>
          <w:b/>
          <w:bCs/>
          <w:color w:val="0070C0"/>
          <w:sz w:val="21"/>
          <w:szCs w:val="21"/>
          <w:lang w:val="en-US" w:eastAsia="zh-CN"/>
        </w:rPr>
        <w:t>稳定可靠</w:t>
      </w:r>
    </w:p>
    <w:p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CE、FCC、RoHS认证。</w:t>
      </w: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</w:p>
    <w:p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人性化面板可通过PWR、Link和PoE的LED指示灯显示设备状态。</w:t>
      </w: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</w:p>
    <w:p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采用自研电源，高冗余设计，提供长期稳定的PoE功率输出。</w:t>
      </w:r>
    </w:p>
    <w:p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低功耗，镀锌钢板外壳，散热优异，确保交换机稳定运行。</w:t>
      </w: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0"/>
        <w:numPr>
          <w:ilvl w:val="0"/>
          <w:numId w:val="1"/>
        </w:numPr>
        <w:spacing w:line="360" w:lineRule="auto"/>
        <w:ind w:firstLineChars="0"/>
        <w:jc w:val="left"/>
        <w:rPr>
          <w:rFonts w:hint="default" w:ascii="Arial" w:hAnsi="Arial" w:cs="Arial"/>
          <w:b/>
          <w:color w:val="0070C0"/>
          <w:sz w:val="21"/>
          <w:szCs w:val="21"/>
          <w:lang w:val="en-US" w:eastAsia="zh-CN"/>
        </w:rPr>
      </w:pPr>
      <w:r>
        <w:rPr>
          <w:rFonts w:hint="eastAsia" w:ascii="Arial" w:hAnsi="Arial" w:cs="Arial"/>
          <w:b/>
          <w:color w:val="0070C0"/>
          <w:sz w:val="21"/>
          <w:szCs w:val="21"/>
          <w:lang w:val="en-US" w:eastAsia="zh-CN"/>
        </w:rPr>
        <w:t>简易运维管理</w:t>
      </w:r>
    </w:p>
    <w:p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支持CPU监控、内存监控和Ping检测。</w:t>
      </w: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</w:p>
    <w:p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HTTPS、SSLV3、SSHV1/V2等加密方式，管理更安全。</w:t>
      </w: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</w:p>
    <w:p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RMON、系统日志和端口流量统计，便于网络优化和改造。</w:t>
      </w:r>
    </w:p>
    <w:p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LLDP便于网管系统查询和判断链路通信状态。</w:t>
      </w:r>
    </w:p>
    <w:p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Web网管、CLI命令行（Console、Telnet）、SNMP（V1/V2/V3）、Telnet等多种管理维护方式。</w:t>
      </w: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spacing w:line="360" w:lineRule="auto"/>
        <w:jc w:val="left"/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</w:pPr>
      <w:r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技术规格</w:t>
      </w:r>
    </w:p>
    <w:p>
      <w:pPr>
        <w:pStyle w:val="11"/>
        <w:bidi w:val="0"/>
        <w:rPr>
          <w:rFonts w:hint="default"/>
          <w:lang w:val="en-US" w:eastAsia="zh-CN"/>
        </w:rPr>
      </w:pPr>
    </w:p>
    <w:tbl>
      <w:tblPr>
        <w:tblStyle w:val="7"/>
        <w:tblW w:w="10035" w:type="dxa"/>
        <w:tblInd w:w="-6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0"/>
        <w:gridCol w:w="71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</w:tcBorders>
            <w:shd w:val="clear" w:color="auto" w:fill="4472C4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eastAsia="zh-CN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ONV-POE57016PFM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035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接口特性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固定端口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1个Console RS232端口（115200, N, 8, 1）</w:t>
              <w:br/>
              <w:t>2个1/10G上联SFP+光纤端口（数据）</w:t>
              <w:br/>
              <w:t>16个10/100/1000/2500Base-T PoE端口（数据/供电）</w:t>
            </w:r>
          </w:p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以太网端口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端口1-16支持10/100/1000/2500Base-T(X)自动识别，全/半双工MDI/MDI-X自适应</w:t>
            </w:r>
            <w:r>
              <w:rPr>
                <w:rFonts w:hint="eastAsia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双绞线传输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10BASE-T：Cat3/4/5 UTP（≤100米）</w:t>
              <w:br/>
              <w:t>100BASE-TX：Cat5及以上UTP（≤100米）</w:t>
              <w:br/>
              <w:t>1000BASE-T：Cat5e及以上UTP（≤100米）</w:t>
              <w:br/>
              <w:t>2500BASE-T：Cat6a及以上UTP（≤100米）</w:t>
            </w:r>
          </w:p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光纤端口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默认不含光模块（可选单模/多模、单纤/双纤光模块，LC接口）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光纤端口扩展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Turbo超频2.5G光模块扩展及环网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光缆/传输距离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多模：850nm/0-550m，0-300m(10G)；单模：1310nm/0-40km，1550nm/0-120km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035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芯片参数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网管类型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L3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网络协议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IEEE802.3 10BASE-T, IEEE802.3i 10Base-T, IEEE802.3u 100Base-TX, IEEE802.3ab 1000Base-T, IEEE802.3z 1000Base-X, IEEE802.3bz 2.5GBase-T, IEEE802.3ae 10GBase-SR/LR, IEEE802.3x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转发模式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存储转发（全线速）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交换容量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160Gbps（无阻塞）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转发速率@64字节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89.28</w:t>
            </w:r>
            <w:r>
              <w:rPr>
                <w:rFonts w:hint="eastAsia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Mpps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MAC地址表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16K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缓存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12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巨帧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12K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LED指示灯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网络：Link/Act（黄色），光纤端口：L/A（绿色），电源：PWR（黄色），系统：SYS（黄色），PoE：PoE（绿色）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复位开关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支持，长按开关10秒后松开恢复出厂设置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035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PoE与电源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PoE端口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端口1-16</w:t>
            </w:r>
            <w:r>
              <w:rPr>
                <w:rFonts w:hint="eastAsia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PoE管理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端口PoE工作状态显示，端口PoE开关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供电引脚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1/2(+) 3/6 (-)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单端口最大功率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30W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, IEEE802.3af/at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总功率/输入电压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250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W/ (AC100-240V)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功耗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待机&lt;15W，满载&lt;250W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eastAsia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eastAsia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电源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内置电源，AC100-240V 50-60Hz，1.0A</w:t>
            </w:r>
            <w:r>
              <w:rPr>
                <w:rFonts w:hint="eastAsia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035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物理参数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工作温度/湿度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-20~+55°C，5%~90% RH非凝露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存储温度/湿度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-40~+75°C，5%~95% RH非凝露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尺寸（长×宽×高）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440×270×44mm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净重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3.91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安装方式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桌面式，1U/19英寸机柜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035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认证与质保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防雷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防护等级：IP30，防雷：6KV 8/20us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认证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CE标志，商业级，CE/LVD EN62368-1，FCC Part 15，RoHS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质保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3年质保，终身维护。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35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网管功能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接口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端口实时流量管理（流量间隔）</w:t>
              <w:br/>
              <w:t>基于端口速率的广播风暴抑制</w:t>
              <w:br/>
              <w:t>SFP光模块DDMI实时数字诊断</w:t>
              <w:br/>
              <w:t>端口EEE绿色以太网节能配置及状态查看</w:t>
              <w:br/>
              <w:t>IEEE802.3x流控（全双工），端口异常保护机制</w:t>
              <w:br/>
              <w:t>限制入端口和出端口的数据包流量速率，最小粒度16Kbps，最大1Gbps</w:t>
            </w:r>
          </w:p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三层功能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IPv4等价路由。</w:t>
              <w:br/>
              <w:t>ARP协议，最大1000条。</w:t>
              <w:br/>
              <w:t>NG协议，最大1000条。</w:t>
              <w:br/>
              <w:t>Pingv6、Telnetv6、TFTPv6、DNSv6和ICMPv6。</w:t>
              <w:br/>
              <w:t>IPv4/IPv6 VRRP，每种最大255组。</w:t>
              <w:br/>
              <w:t>IPv4/IPv6 VLANIF接口，每种最大64个。</w:t>
              <w:br/>
              <w:t>IPv4动态路由，RIPv1/v2和OSPFv2，2000条路由表项。</w:t>
              <w:br/>
              <w:t>三层网管功能及IPv4/IPv6双栈管理。</w:t>
              <w:br/>
              <w:t>IPv4/IPv6静态路由/默认路由，每种最大64条。</w:t>
              <w:br/>
              <w:t>三层路由、转发及不同网段和VLAN之间的通信。</w:t>
            </w:r>
          </w:p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VLAN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基于协议的VLAN，基于MAC地址的VLAN</w:t>
              <w:br/>
              <w:t>Voice VLAN，QinQ配置，GVRP VLAN协议</w:t>
              <w:br/>
              <w:t>基于端口的VLAN（4K），IEEE 802.1q，Access、Trunk和Hybrid端口配置</w:t>
            </w:r>
          </w:p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端口聚合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LACP动态聚合，静态聚合，最多8个聚合组，每组最多8个端口。</w:t>
            </w:r>
            <w:r>
              <w:rPr>
                <w:rFonts w:hint="eastAsia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eastAsia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生成树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STP BPDU保护、BPDU过滤和BPDU转发</w:t>
              <w:br/>
              <w:t>STP（IEEE802.1d），RSTP（IEEE802.1w），MSTP（IEEE802.1s）</w:t>
            </w:r>
          </w:p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ERPS环网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ERPS环网，恢复时间小于20ms，ITU-T G.8032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组播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组播VLAN，用户快速离开，MLD Snooping，MVR（组播VLAN注册），IGMP Snooping v1/v2/v3，最多1024个组播组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镜像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基础端口双向流量镜像</w:t>
              <w:br/>
              <w:t>一对多镜像，最多支持4个端口会话</w:t>
            </w:r>
          </w:p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QoS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基于流的速率限制，基于流的重定向</w:t>
              <w:br/>
              <w:t>队列调度算法（SP、WRR、SP+WRR）</w:t>
              <w:br/>
              <w:t>基于流的数据包过滤，每端口8个输出队列</w:t>
              <w:br/>
              <w:t>802.1p/DSCP优先级映射，Diff-Serv QoS，优先级标记/重标记</w:t>
            </w:r>
          </w:p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ACL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基于端口和VLAN的ACL部署。</w:t>
              <w:br/>
              <w:t>L2-L4数据包过滤，可匹配数据包前80字节，提供基于源MAC地址、目的MAC地址、源IP地址、目的IP地址、IP协议类型、TCP/UDP端口、TCP/UDP端口范围、VLAN等的ACL定义。</w:t>
            </w:r>
          </w:p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安全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基于端口的IEEE802.1X认证</w:t>
              <w:br/>
              <w:t>端口隔离，IP Source Guard功能</w:t>
              <w:br/>
              <w:t>SSL保障数据传输安全</w:t>
              <w:br/>
              <w:t>IP+MAC+VLAN+端口四元绑定功能</w:t>
              <w:br/>
              <w:t>MAC地址学习限制，MAC地址黑洞</w:t>
              <w:br/>
              <w:t>防DoS攻击，端口广播报文抑制</w:t>
              <w:br/>
              <w:t>分级用户管理和密码保护</w:t>
              <w:br/>
              <w:t>SSH 2.0为用户登录提供安全加密通道</w:t>
              <w:br/>
              <w:t>主机数据备份机制，ARP入侵检测功能</w:t>
              <w:br/>
              <w:t>IP源地址保护，ARP报文限速功能</w:t>
              <w:br/>
              <w:t>支持AAA、RADIUS、TACACS+认证（仅支持认证，不支持授权和计费）</w:t>
            </w:r>
          </w:p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DHCP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DHCP客户端，DHCP Snooping，DHCP服务器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管理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系统工作日志，链路层发现协议</w:t>
              <w:br/>
              <w:t>HTTP、TFTP文件上传下载管理</w:t>
              <w:br/>
              <w:t>NTP时钟，线缆长度检测，SNMP V1/V2C/V3</w:t>
              <w:br/>
              <w:t>Ping检测，Web网管（HTTPS）</w:t>
              <w:br/>
              <w:t>ONV-NMS平台集群管理（LLDP+SNMP）</w:t>
              <w:br/>
              <w:t>一键恢复，查看CPU实时利用率状态</w:t>
              <w:br/>
              <w:t>Console/SSH/Telnet/CLI命令行配置</w:t>
            </w:r>
          </w:p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系统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Web浏览器：Google Chrome V42及以上，Mozilla Firefox 2.5及以上，Microsoft Internet Explorer 10及以上，五类及以上以太网网线。</w:t>
              <w:br/>
              <w:t>每台联网计算机需安装TCP/IP、网卡和网络操作系统（如Microsoft Windows、Linux或Mac OS X），五类及以上以太网网线。</w:t>
            </w:r>
          </w:p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</w:tc>
      </w:tr>
    </w:tbl>
    <w:p>
      <w:pPr>
        <w:pStyle w:val="11"/>
        <w:bidi w:val="0"/>
        <w:rPr>
          <w:rFonts w:hint="eastAsia"/>
          <w:lang w:val="en-US" w:eastAsia="zh-CN"/>
        </w:rPr>
      </w:pPr>
    </w:p>
    <w:p>
      <w:pPr>
        <w:spacing w:line="240" w:lineRule="auto"/>
        <w:jc w:val="left"/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</w:pPr>
      <w:r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外观尺寸</w:t>
      </w: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jc w:val="center"/>
        <w:rPr>
          <w:rFonts w:hint="eastAsia"/>
          <w:lang w:eastAsia="zh-CN"/>
        </w:rPr>
      </w:pPr>
    </w:p>
    <w:p>
      <w:pPr>
        <w:spacing w:line="240" w:lineRule="auto"/>
        <w:jc w:val="left"/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</w:pPr>
      <w:r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应用场景</w:t>
      </w: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spacing w:line="240" w:lineRule="auto"/>
        <w:jc w:val="left"/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</w:pPr>
      <w:r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订购信息</w:t>
      </w:r>
    </w:p>
    <w:p>
      <w:pPr>
        <w:pStyle w:val="11"/>
        <w:bidi w:val="0"/>
        <w:rPr>
          <w:rFonts w:hint="eastAsia"/>
          <w:lang w:val="en-US" w:eastAsia="zh-CN"/>
        </w:rPr>
      </w:pPr>
    </w:p>
    <w:tbl>
      <w:tblPr>
        <w:tblStyle w:val="7"/>
        <w:tblW w:w="9405" w:type="dxa"/>
        <w:tblInd w:w="-1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3"/>
        <w:gridCol w:w="5150"/>
        <w:gridCol w:w="1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57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</w:tcBorders>
            <w:shd w:val="clear" w:color="auto" w:fill="4472C4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51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  <w:tc>
          <w:tcPr>
            <w:tcW w:w="168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内置电源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57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ONV-POE57016PFM</w:t>
            </w:r>
          </w:p>
        </w:tc>
        <w:tc>
          <w:tcPr>
            <w:tcW w:w="51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L3网管型PoE交换机，16个10/100/1000/2500M RJ45端口和2个1/10G上联SFP+光纤端口。端口1-16支持IEEE802.3af/at PoE标准。内置电源，1U/19英寸机柜安装。</w:t>
            </w:r>
            <w:r>
              <w:rPr>
                <w:rFonts w:hint="eastAsia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eastAsia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eastAsia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eastAsia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</w:tc>
        <w:tc>
          <w:tcPr>
            <w:tcW w:w="168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25</w:t>
            </w:r>
            <w:bookmarkStart w:id="2" w:name="_GoBack"/>
            <w:bookmarkEnd w:id="2"/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0W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405" w:type="dxa"/>
            <w:gridSpan w:val="3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注：光模块不含，需另行购买。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</w:tc>
      </w:tr>
    </w:tbl>
    <w:p>
      <w:pPr>
        <w:pStyle w:val="11"/>
        <w:bidi w:val="0"/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pStyle w:val="11"/>
        <w:bidi w:val="0"/>
        <w:rPr>
          <w:rFonts w:hint="eastAsia"/>
          <w:lang w:val="en-US" w:eastAsia="zh-CN"/>
        </w:rPr>
      </w:pPr>
    </w:p>
    <w:p>
      <w:pPr>
        <w:spacing w:line="240" w:lineRule="auto"/>
        <w:jc w:val="left"/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</w:pPr>
      <w:r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装箱清单</w:t>
      </w:r>
    </w:p>
    <w:p>
      <w:pPr>
        <w:pStyle w:val="11"/>
        <w:bidi w:val="0"/>
        <w:rPr>
          <w:rFonts w:hint="eastAsia"/>
          <w:lang w:val="en-US" w:eastAsia="zh-CN"/>
        </w:rPr>
      </w:pPr>
    </w:p>
    <w:tbl>
      <w:tblPr>
        <w:tblStyle w:val="6"/>
        <w:tblW w:w="9397" w:type="dxa"/>
        <w:tblInd w:w="-1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5"/>
        <w:gridCol w:w="4786"/>
        <w:gridCol w:w="795"/>
        <w:gridCol w:w="8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955" w:type="dxa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</w:tcBorders>
            <w:shd w:val="clear" w:color="auto" w:fill="4472C4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装箱清单</w:t>
            </w:r>
          </w:p>
        </w:tc>
        <w:tc>
          <w:tcPr>
            <w:tcW w:w="478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内容</w:t>
            </w:r>
          </w:p>
        </w:tc>
        <w:tc>
          <w:tcPr>
            <w:tcW w:w="7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数量</w:t>
            </w:r>
          </w:p>
        </w:tc>
        <w:tc>
          <w:tcPr>
            <w:tcW w:w="86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95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478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18口2.5G网管型PoE交换机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</w:tc>
        <w:tc>
          <w:tcPr>
            <w:tcW w:w="7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</w:t>
            </w:r>
          </w:p>
        </w:tc>
        <w:tc>
          <w:tcPr>
            <w:tcW w:w="86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95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478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RJ45-DB9配置线</w:t>
            </w:r>
          </w:p>
        </w:tc>
        <w:tc>
          <w:tcPr>
            <w:tcW w:w="7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</w:t>
            </w:r>
          </w:p>
        </w:tc>
        <w:tc>
          <w:tcPr>
            <w:tcW w:w="86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95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478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交流电源线</w:t>
            </w:r>
          </w:p>
        </w:tc>
        <w:tc>
          <w:tcPr>
            <w:tcW w:w="7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</w:t>
            </w:r>
          </w:p>
        </w:tc>
        <w:tc>
          <w:tcPr>
            <w:tcW w:w="86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95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478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安装配件</w:t>
            </w:r>
          </w:p>
        </w:tc>
        <w:tc>
          <w:tcPr>
            <w:tcW w:w="7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</w:t>
            </w:r>
          </w:p>
        </w:tc>
        <w:tc>
          <w:tcPr>
            <w:tcW w:w="86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95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478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用户指南</w:t>
            </w:r>
          </w:p>
        </w:tc>
        <w:tc>
          <w:tcPr>
            <w:tcW w:w="7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</w:t>
            </w:r>
          </w:p>
        </w:tc>
        <w:tc>
          <w:tcPr>
            <w:tcW w:w="86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95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478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保修卡及合格证</w:t>
            </w:r>
          </w:p>
        </w:tc>
        <w:tc>
          <w:tcPr>
            <w:tcW w:w="7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</w:t>
            </w:r>
          </w:p>
        </w:tc>
        <w:tc>
          <w:tcPr>
            <w:tcW w:w="86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</w:tbl>
    <w:p>
      <w:pPr>
        <w:pStyle w:val="11"/>
        <w:bidi w:val="0"/>
        <w:rPr>
          <w:rFonts w:hint="eastAsia"/>
          <w:lang w:val="en-US" w:eastAsia="zh-CN"/>
        </w:rPr>
      </w:pPr>
    </w:p>
    <w:p>
      <w:pPr>
        <w:spacing w:line="240" w:lineRule="auto"/>
        <w:jc w:val="left"/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</w:pPr>
      <w:r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光模块</w:t>
      </w:r>
    </w:p>
    <w:p>
      <w:pPr>
        <w:pStyle w:val="11"/>
        <w:bidi w:val="0"/>
        <w:rPr>
          <w:rFonts w:hint="eastAsia"/>
          <w:lang w:val="en-US" w:eastAsia="zh-CN"/>
        </w:rPr>
      </w:pPr>
    </w:p>
    <w:tbl>
      <w:tblPr>
        <w:tblStyle w:val="6"/>
        <w:tblW w:w="97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485"/>
        <w:gridCol w:w="6438"/>
        <w:gridCol w:w="6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</w:tcBorders>
            <w:shd w:val="clear" w:color="auto" w:fill="4472C4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产品</w:t>
            </w: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  <w:tc>
          <w:tcPr>
            <w:tcW w:w="67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5" w:type="dxa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1.25G光模块</w:t>
            </w: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2630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SFP，1.25G多模双纤850nm，550m，LC，DDM，可热插拔</w:t>
            </w:r>
          </w:p>
        </w:tc>
        <w:tc>
          <w:tcPr>
            <w:tcW w:w="67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2632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SFP，1.25G单模双纤1310nm，20km，LC，DDM，可热插拔</w:t>
            </w:r>
          </w:p>
        </w:tc>
        <w:tc>
          <w:tcPr>
            <w:tcW w:w="67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2612-T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SFP，1.25G单模单纤TX1310nm/RX1550nm，20km，LC，DDM，可热插拔</w:t>
            </w:r>
          </w:p>
        </w:tc>
        <w:tc>
          <w:tcPr>
            <w:tcW w:w="67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2613-R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SFP，1.25G单模单纤TX1550nm/RX1310nm，20km，LC，DDM，可热插拔</w:t>
            </w:r>
          </w:p>
        </w:tc>
        <w:tc>
          <w:tcPr>
            <w:tcW w:w="67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2612-T-SC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SFP，1.25G单模单纤TX1310nm/RX1550nm，20km，SC，DDM，可热插拔</w:t>
            </w:r>
            <w:r>
              <w:rPr>
                <w:rFonts w:hint="eastAsia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</w:tc>
        <w:tc>
          <w:tcPr>
            <w:tcW w:w="67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2613-R-SC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SFP，1.25G单模单纤TX1550nm/RX1310nm，20km，SC，DDM，可热插拔</w:t>
            </w:r>
            <w:r>
              <w:rPr>
                <w:rFonts w:hint="eastAsia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</w:tc>
        <w:tc>
          <w:tcPr>
            <w:tcW w:w="67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电源模块</w:t>
            </w: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2633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SFP，1.25G转10/100/1000M RJ45端口</w:t>
            </w:r>
          </w:p>
        </w:tc>
        <w:tc>
          <w:tcPr>
            <w:tcW w:w="67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5" w:type="dxa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10G光模块</w:t>
            </w:r>
          </w:p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6630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SFP+，10G多模双纤850nm，300m，LC，DDM，可热插拔</w:t>
            </w:r>
          </w:p>
        </w:tc>
        <w:tc>
          <w:tcPr>
            <w:tcW w:w="67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7832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SFP+，10G单模双纤1310nm，20km，LC，DDM，可热插拔</w:t>
            </w:r>
          </w:p>
        </w:tc>
        <w:tc>
          <w:tcPr>
            <w:tcW w:w="67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7832-33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SFP+，10G单模单纤TX1330nm/RX1270nm，20km，LC，DDM，可热插拔</w:t>
            </w:r>
          </w:p>
        </w:tc>
        <w:tc>
          <w:tcPr>
            <w:tcW w:w="67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7832-27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SFP+，10G单模单纤TX1270nm/RX1330nm，20km，LC，DDM，可热插拔</w:t>
            </w:r>
          </w:p>
        </w:tc>
        <w:tc>
          <w:tcPr>
            <w:tcW w:w="67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</w:tbl>
    <w:p>
      <w:pPr>
        <w:pStyle w:val="11"/>
        <w:bidi w:val="0"/>
        <w:rPr>
          <w:rFonts w:hint="default"/>
          <w:lang w:val="en-US" w:eastAsia="zh-CN"/>
        </w:rPr>
      </w:pPr>
    </w:p>
    <w:p>
      <w:pPr>
        <w:spacing w:line="360" w:lineRule="auto"/>
        <w:jc w:val="left"/>
        <w:rPr>
          <w:rFonts w:hint="default" w:ascii="Arial" w:hAnsi="Arial" w:cs="Arial"/>
          <w:b/>
          <w:bCs/>
          <w:color w:val="538135"/>
          <w:sz w:val="32"/>
          <w:szCs w:val="32"/>
          <w:lang w:val="en-US" w:eastAsia="zh-CN"/>
        </w:rPr>
      </w:pPr>
      <w:r>
        <w:rPr>
          <w:rFonts w:hint="default" w:ascii="Arial" w:hAnsi="Arial" w:cs="Arial"/>
          <w:b/>
          <w:bCs/>
          <w:color w:val="538135"/>
          <w:sz w:val="32"/>
          <w:szCs w:val="32"/>
          <w:lang w:val="en-US" w:eastAsia="zh-CN"/>
        </w:rPr>
        <w:t>联系我们</w:t>
      </w:r>
    </w:p>
    <w:p>
      <w:pPr>
        <w:spacing w:line="360" w:lineRule="auto"/>
        <w:jc w:val="left"/>
        <w:rPr>
          <w:rFonts w:hint="default" w:ascii="Arial" w:hAnsi="Arial" w:cs="Arial"/>
          <w:b/>
          <w:color w:val="404040" w:themeColor="text1" w:themeTint="BF"/>
          <w:sz w:val="21"/>
          <w:szCs w:val="21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eastAsia="微软雅黑" w:cs="Arial"/>
          <w:b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光网视科技（深圳）有限公司</w:t>
      </w:r>
      <w:r>
        <w:rPr>
          <w:rFonts w:hint="default" w:ascii="Arial" w:hAnsi="Arial" w:eastAsia="微软雅黑" w:cs="Arial"/>
          <w:b/>
          <w:color w:val="404040" w:themeColor="text1" w:themeTint="BF"/>
          <w:sz w:val="21"/>
          <w:szCs w:val="21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  <w:r>
        <w:rPr>
          <w:rFonts w:hint="default" w:ascii="Arial" w:hAnsi="Arial" w:eastAsia="微软雅黑" w:cs="Arial"/>
          <w:b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</w:p>
    <w:p>
      <w:pPr>
        <w:spacing w:line="360" w:lineRule="auto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电话：0086-755-33376606</w:t>
      </w:r>
    </w:p>
    <w:p>
      <w:pPr>
        <w:spacing w:line="360" w:lineRule="auto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传真：0086-755-33376608</w:t>
      </w:r>
    </w:p>
    <w:p>
      <w:pPr>
        <w:spacing w:line="360" w:lineRule="auto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微信：ONV-PoE-IoT</w:t>
      </w:r>
    </w:p>
    <w:p>
      <w:pPr>
        <w:spacing w:line="360" w:lineRule="auto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邮箱：onv@onv.com.cn</w:t>
      </w:r>
    </w:p>
    <w:p>
      <w:pPr>
        <w:spacing w:line="360" w:lineRule="auto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Skype：onv@onv.com.cn</w:t>
      </w: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</w:p>
    <w:p>
      <w:pPr>
        <w:spacing w:line="360" w:lineRule="auto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Teams：onv@onv.com.cn</w:t>
      </w: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</w:p>
    <w:p>
      <w:pPr>
        <w:spacing w:line="360" w:lineRule="auto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官网：www.onvcom.com</w:t>
      </w:r>
    </w:p>
    <w:p>
      <w:pPr>
        <w:spacing w:line="360" w:lineRule="auto"/>
        <w:jc w:val="left"/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总部地址：深圳市福田区Terra大厦D座1003室</w:t>
      </w:r>
    </w:p>
    <w:p>
      <w:pPr>
        <w:spacing w:line="360" w:lineRule="auto"/>
        <w:jc w:val="left"/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工厂地址：惠州市仲恺高新区陈江街道仲恺六路333号银河人工智能产业园B3栋</w:t>
      </w: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850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bidi w:val="0"/>
      <w:spacing w:line="360" w:lineRule="auto"/>
      <w:jc w:val="center"/>
      <w:rPr>
        <w:rFonts w:hint="default" w:ascii="Arial" w:hAnsi="Arial" w:cs="Arial"/>
        <w:b/>
        <w:bCs/>
        <w:sz w:val="18"/>
        <w:szCs w:val="18"/>
        <w:lang w:val="en-US" w:eastAsia="zh-CN"/>
      </w:rPr>
    </w:pPr>
    <w:r>
      <w:rPr>
        <w:rFonts w:hint="default" w:ascii="Arial" w:hAnsi="Arial" w:cs="Arial"/>
        <w:b/>
        <w:bCs/>
        <w:sz w:val="18"/>
        <w:szCs w:val="18"/>
        <w:lang w:eastAsia="zh-CN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4140200</wp:posOffset>
          </wp:positionH>
          <wp:positionV relativeFrom="paragraph">
            <wp:posOffset>-36195</wp:posOffset>
          </wp:positionV>
          <wp:extent cx="1163955" cy="394970"/>
          <wp:effectExtent l="0" t="0" r="17145" b="4445"/>
          <wp:wrapNone/>
          <wp:docPr id="13" name="图片 13" descr="on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图片 13" descr="onv"/>
                  <pic:cNvPicPr>
                    <a:picLocks noChangeAspect="1"/>
                  </pic:cNvPicPr>
                </pic:nvPicPr>
                <pic:blipFill>
                  <a:blip r:embed="rId1"/>
                  <a:srcRect r="7649" b="6627"/>
                  <a:stretch>
                    <a:fillRect/>
                  </a:stretch>
                </pic:blipFill>
                <pic:spPr>
                  <a:xfrm>
                    <a:off x="0" y="0"/>
                    <a:ext cx="1163955" cy="394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default" w:ascii="Arial" w:hAnsi="Arial" w:cs="Arial"/>
        <w:b/>
        <w:bCs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47625</wp:posOffset>
              </wp:positionH>
              <wp:positionV relativeFrom="paragraph">
                <wp:posOffset>19050</wp:posOffset>
              </wp:positionV>
              <wp:extent cx="235585" cy="202565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5585" cy="2025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  <w:bidi w:val="0"/>
                            <w:spacing w:line="360" w:lineRule="auto"/>
                            <w:jc w:val="center"/>
                            <w:rPr>
                              <w:rFonts w:hint="default" w:ascii="Arial" w:hAnsi="Arial" w:cs="Arial"/>
                              <w:b/>
                              <w:bCs/>
                              <w:sz w:val="18"/>
                              <w:szCs w:val="18"/>
                              <w:lang w:eastAsia="zh-CN"/>
                            </w:rPr>
                          </w:pPr>
                          <w:r>
                            <w:rPr>
                              <w:rFonts w:hint="default" w:ascii="Arial" w:hAnsi="Arial" w:cs="Arial"/>
                              <w:b/>
                              <w:bCs/>
                              <w:sz w:val="18"/>
                              <w:szCs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Arial" w:hAnsi="Arial" w:cs="Arial"/>
                              <w:b/>
                              <w:bCs/>
                              <w:sz w:val="18"/>
                              <w:szCs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Arial" w:hAnsi="Arial" w:cs="Arial"/>
                              <w:b/>
                              <w:bCs/>
                              <w:sz w:val="18"/>
                              <w:szCs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Arial" w:hAnsi="Arial" w:cs="Arial"/>
                              <w:b/>
                              <w:bCs/>
                              <w:sz w:val="18"/>
                              <w:szCs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Arial" w:hAnsi="Arial" w:cs="Arial"/>
                              <w:b/>
                              <w:bCs/>
                              <w:sz w:val="18"/>
                              <w:szCs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.75pt;margin-top:1.5pt;height:15.95pt;width:18.55pt;mso-position-horizontal-relative:margin;z-index:251661312;mso-width-relative:page;mso-height-relative:page;" filled="f" stroked="f" coordsize="21600,21600" o:gfxdata="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Le5BxPUAAAABQEAAA8AAAAAAAAAAQAgAAAAIgAAAGRycy9kb3ducmV2Lnht&#10;bFBLAQIUABQAAAAIAIdO4kCpS4fPNgIAAGMEAAAOAAAAAAAAAAEAIAAAACM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11"/>
                      <w:bidi w:val="0"/>
                      <w:spacing w:line="360" w:lineRule="auto"/>
                      <w:jc w:val="center"/>
                      <w:rPr>
                        <w:rFonts w:hint="default" w:ascii="Arial" w:hAnsi="Arial" w:cs="Arial"/>
                        <w:b/>
                        <w:bCs/>
                        <w:sz w:val="18"/>
                        <w:szCs w:val="18"/>
                        <w:lang w:eastAsia="zh-CN"/>
                      </w:rPr>
                    </w:pPr>
                    <w:r>
                      <w:rPr>
                        <w:rFonts w:hint="default" w:ascii="Arial" w:hAnsi="Arial" w:cs="Arial"/>
                        <w:b/>
                        <w:bCs/>
                        <w:sz w:val="18"/>
                        <w:szCs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Arial" w:hAnsi="Arial" w:cs="Arial"/>
                        <w:b/>
                        <w:bCs/>
                        <w:sz w:val="18"/>
                        <w:szCs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Arial" w:hAnsi="Arial" w:cs="Arial"/>
                        <w:b/>
                        <w:bCs/>
                        <w:sz w:val="18"/>
                        <w:szCs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Arial" w:hAnsi="Arial" w:cs="Arial"/>
                        <w:b/>
                        <w:bCs/>
                        <w:sz w:val="18"/>
                        <w:szCs w:val="18"/>
                        <w:lang w:eastAsia="zh-CN"/>
                      </w:rPr>
                      <w:t>1</w:t>
                    </w:r>
                    <w:r>
                      <w:rPr>
                        <w:rFonts w:hint="default" w:ascii="Arial" w:hAnsi="Arial" w:cs="Arial"/>
                        <w:b/>
                        <w:bCs/>
                        <w:sz w:val="18"/>
                        <w:szCs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Arial" w:hAnsi="Arial" w:cs="Arial"/>
        <w:b/>
        <w:bCs/>
        <w:sz w:val="18"/>
        <w:szCs w:val="18"/>
        <w:lang w:val="en-US" w:eastAsia="zh-CN"/>
      </w:rPr>
      <w:t xml:space="preserve">                                         </w:t>
    </w:r>
    <w:r>
      <w:rPr>
        <w:rFonts w:hint="default" w:ascii="Arial" w:hAnsi="Arial" w:cs="Arial"/>
        <w:b/>
        <w:bCs/>
        <w:sz w:val="18"/>
        <w:szCs w:val="18"/>
        <w:lang w:val="en-US" w:eastAsia="zh-CN"/>
      </w:rPr>
      <w:t>+86 755 33376606</w:t>
    </w:r>
  </w:p>
  <w:p>
    <w:pPr>
      <w:pStyle w:val="11"/>
      <w:bidi w:val="0"/>
      <w:spacing w:line="360" w:lineRule="auto"/>
      <w:jc w:val="center"/>
      <w:rPr>
        <w:rFonts w:hint="default" w:ascii="Arial" w:hAnsi="Arial" w:cs="Arial"/>
        <w:b/>
        <w:bCs/>
        <w:sz w:val="18"/>
        <w:szCs w:val="18"/>
        <w:lang w:val="en-US"/>
      </w:rPr>
    </w:pPr>
    <w:r>
      <w:rPr>
        <w:rFonts w:hint="eastAsia" w:ascii="Arial" w:hAnsi="Arial" w:cs="Arial"/>
        <w:b/>
        <w:bCs/>
        <w:sz w:val="18"/>
        <w:szCs w:val="18"/>
        <w:lang w:val="en-US" w:eastAsia="zh-CN"/>
      </w:rPr>
      <w:t xml:space="preserve">    </w:t>
    </w:r>
    <w:r>
      <w:rPr>
        <w:rFonts w:hint="default" w:ascii="Arial" w:hAnsi="Arial" w:cs="Arial"/>
        <w:b/>
        <w:bCs/>
        <w:sz w:val="18"/>
        <w:szCs w:val="18"/>
      </w:rPr>
      <w:t>O</w:t>
    </w:r>
    <w:r>
      <w:rPr>
        <w:rFonts w:hint="default" w:ascii="Arial" w:hAnsi="Arial" w:cs="Arial"/>
        <w:b/>
        <w:bCs/>
        <w:sz w:val="18"/>
        <w:szCs w:val="18"/>
        <w:lang w:val="en-US" w:eastAsia="zh-CN"/>
      </w:rPr>
      <w:t>ptical</w:t>
    </w:r>
    <w:r>
      <w:rPr>
        <w:rFonts w:hint="default" w:ascii="Arial" w:hAnsi="Arial" w:cs="Arial"/>
        <w:b/>
        <w:bCs/>
        <w:sz w:val="18"/>
        <w:szCs w:val="18"/>
      </w:rPr>
      <w:t xml:space="preserve"> N</w:t>
    </w:r>
    <w:r>
      <w:rPr>
        <w:rFonts w:hint="default" w:ascii="Arial" w:hAnsi="Arial" w:cs="Arial"/>
        <w:b/>
        <w:bCs/>
        <w:sz w:val="18"/>
        <w:szCs w:val="18"/>
        <w:lang w:val="en-US" w:eastAsia="zh-CN"/>
      </w:rPr>
      <w:t>etwork</w:t>
    </w:r>
    <w:r>
      <w:rPr>
        <w:rFonts w:hint="default" w:ascii="Arial" w:hAnsi="Arial" w:cs="Arial"/>
        <w:b/>
        <w:bCs/>
        <w:sz w:val="18"/>
        <w:szCs w:val="18"/>
      </w:rPr>
      <w:t xml:space="preserve"> V</w:t>
    </w:r>
    <w:r>
      <w:rPr>
        <w:rFonts w:hint="default" w:ascii="Arial" w:hAnsi="Arial" w:cs="Arial"/>
        <w:b/>
        <w:bCs/>
        <w:sz w:val="18"/>
        <w:szCs w:val="18"/>
        <w:lang w:val="en-US" w:eastAsia="zh-CN"/>
      </w:rPr>
      <w:t>ideo</w:t>
    </w:r>
    <w:r>
      <w:rPr>
        <w:rFonts w:hint="default" w:ascii="Arial" w:hAnsi="Arial" w:cs="Arial"/>
        <w:b/>
        <w:bCs/>
        <w:sz w:val="18"/>
        <w:szCs w:val="18"/>
      </w:rPr>
      <w:t xml:space="preserve"> T</w:t>
    </w:r>
    <w:r>
      <w:rPr>
        <w:rFonts w:hint="default" w:ascii="Arial" w:hAnsi="Arial" w:cs="Arial"/>
        <w:b/>
        <w:bCs/>
        <w:sz w:val="18"/>
        <w:szCs w:val="18"/>
        <w:lang w:val="en-US" w:eastAsia="zh-CN"/>
      </w:rPr>
      <w:t xml:space="preserve">echnologies </w:t>
    </w:r>
    <w:r>
      <w:rPr>
        <w:rFonts w:hint="default" w:ascii="Arial" w:hAnsi="Arial" w:cs="Arial"/>
        <w:b/>
        <w:bCs/>
        <w:sz w:val="18"/>
        <w:szCs w:val="18"/>
      </w:rPr>
      <w:t>(S</w:t>
    </w:r>
    <w:r>
      <w:rPr>
        <w:rFonts w:hint="default" w:ascii="Arial" w:hAnsi="Arial" w:cs="Arial"/>
        <w:b/>
        <w:bCs/>
        <w:sz w:val="18"/>
        <w:szCs w:val="18"/>
        <w:lang w:val="en-US" w:eastAsia="zh-CN"/>
      </w:rPr>
      <w:t>henzhen</w:t>
    </w:r>
    <w:r>
      <w:rPr>
        <w:rFonts w:hint="default" w:ascii="Arial" w:hAnsi="Arial" w:cs="Arial"/>
        <w:b/>
        <w:bCs/>
        <w:sz w:val="18"/>
        <w:szCs w:val="18"/>
      </w:rPr>
      <w:t>) C</w:t>
    </w:r>
    <w:r>
      <w:rPr>
        <w:rFonts w:hint="default" w:ascii="Arial" w:hAnsi="Arial" w:cs="Arial"/>
        <w:b/>
        <w:bCs/>
        <w:sz w:val="18"/>
        <w:szCs w:val="18"/>
        <w:lang w:val="en-US" w:eastAsia="zh-CN"/>
      </w:rPr>
      <w:t>o</w:t>
    </w:r>
    <w:r>
      <w:rPr>
        <w:rFonts w:hint="default" w:ascii="Arial" w:hAnsi="Arial" w:cs="Arial"/>
        <w:b/>
        <w:bCs/>
        <w:sz w:val="18"/>
        <w:szCs w:val="18"/>
      </w:rPr>
      <w:t>., L</w:t>
    </w:r>
    <w:r>
      <w:rPr>
        <w:rFonts w:hint="default" w:ascii="Arial" w:hAnsi="Arial" w:cs="Arial"/>
        <w:b/>
        <w:bCs/>
        <w:sz w:val="18"/>
        <w:szCs w:val="18"/>
        <w:lang w:val="en-US" w:eastAsia="zh-CN"/>
      </w:rPr>
      <w:t>td.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hint="eastAsia" w:eastAsia="宋体"/>
        <w:lang w:eastAsia="zh-CN"/>
      </w:rPr>
      <w:drawing>
        <wp:inline distT="0" distB="0" distL="114300" distR="114300">
          <wp:extent cx="5432425" cy="356235"/>
          <wp:effectExtent l="0" t="0" r="15875" b="5715"/>
          <wp:docPr id="2" name="图片 2" descr="页眉页脚 - 副本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页眉页脚 - 副本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2425" cy="356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-1148080</wp:posOffset>
              </wp:positionH>
              <wp:positionV relativeFrom="paragraph">
                <wp:posOffset>-549275</wp:posOffset>
              </wp:positionV>
              <wp:extent cx="410210" cy="12402185"/>
              <wp:effectExtent l="5080" t="4445" r="22860" b="13970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0210" cy="12402185"/>
                        <a:chOff x="-76" y="-646"/>
                        <a:chExt cx="646" cy="19531"/>
                      </a:xfrm>
                    </wpg:grpSpPr>
                    <wps:wsp>
                      <wps:cNvPr id="7" name="矩形 7"/>
                      <wps:cNvSpPr/>
                      <wps:spPr>
                        <a:xfrm>
                          <a:off x="-75" y="-646"/>
                          <a:ext cx="645" cy="5956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9525" cap="flat" cmpd="sng">
                          <a:solidFill>
                            <a:srgbClr val="FF99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s:wsp>
                      <wps:cNvPr id="8" name="矩形 8"/>
                      <wps:cNvSpPr/>
                      <wps:spPr>
                        <a:xfrm>
                          <a:off x="-76" y="4740"/>
                          <a:ext cx="646" cy="14145"/>
                        </a:xfrm>
                        <a:prstGeom prst="rect">
                          <a:avLst/>
                        </a:prstGeom>
                        <a:solidFill>
                          <a:srgbClr val="000099"/>
                        </a:solidFill>
                        <a:ln w="9525" cap="flat" cmpd="sng">
                          <a:solidFill>
                            <a:srgbClr val="000099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90.4pt;margin-top:-43.25pt;height:976.55pt;width:32.3pt;z-index:251660288;mso-width-relative:page;mso-height-relative:page;" coordorigin="-76,-646" coordsize="646,19531" o:gfxdata="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DNUBqZ3AAAAA4BAAAPAAAAAAAAAAEAIAAAACIAAABkcnMv&#10;ZG93bnJldi54bWxQSwECFAAUAAAACACHTuJAHtXW86oCAACNBwAADgAAAAAAAAABACAAAAArAQAA&#10;ZHJzL2Uyb0RvYy54bWxQSwUGAAAAAAYABgBZAQAARwYAAAAA&#10;">
              <o:lock v:ext="edit" aspectratio="f"/>
              <v:rect id="_x0000_s1026" o:spid="_x0000_s1026" o:spt="1" style="position:absolute;left:-75;top:-646;height:5956;width:645;" fillcolor="#FF9900" filled="t" stroked="t" coordsize="21600,21600" o:gfxdata="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trPKq8AAAA&#10;2gAAAA8AAAAAAAAAAQAgAAAAIgAAAGRycy9kb3ducmV2LnhtbFBLAQIUABQAAAAIAIdO4kAzLwWe&#10;OwAAADkAAAAQAAAAAAAAAAEAIAAAAAsBAABkcnMvc2hhcGV4bWwueG1sUEsFBgAAAAAGAAYAWwEA&#10;ALUDAAAAAA==&#10;">
                <v:fill on="t" focussize="0,0"/>
                <v:stroke color="#FF9900" joinstyle="miter"/>
                <v:imagedata o:title=""/>
                <o:lock v:ext="edit" aspectratio="f"/>
              </v:rect>
              <v:rect id="_x0000_s1026" o:spid="_x0000_s1026" o:spt="1" style="position:absolute;left:-76;top:4740;height:14145;width:646;" fillcolor="#000099" filled="t" stroked="t" coordsize="21600,21600" o:gfxdata="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KCyVugAAANoA&#10;AAAPAAAAAAAAAAEAIAAAACIAAABkcnMvZG93bnJldi54bWxQSwECFAAUAAAACACHTuJAMy8FnjsA&#10;AAA5AAAAEAAAAAAAAAABACAAAAAJAQAAZHJzL3NoYXBleG1sLnhtbFBLBQYAAAAABgAGAFsBAACz&#10;AwAAAAA=&#10;">
                <v:fill on="t" focussize="0,0"/>
                <v:stroke color="#000099" joinstyle="miter"/>
                <v:imagedata o:title=""/>
                <o:lock v:ext="edit" aspectratio="f"/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6D48A4"/>
    <w:multiLevelType w:val="multilevel"/>
    <w:tmpl w:val="056D48A4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C3159A4"/>
    <w:multiLevelType w:val="multilevel"/>
    <w:tmpl w:val="3C3159A4"/>
    <w:lvl w:ilvl="0" w:tentative="0">
      <w:start w:val="1"/>
      <w:numFmt w:val="bullet"/>
      <w:lvlText w:val="◇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hYmZlNTI1Yzk4YTBlMjRhOGIzNmU5ZTkyZWZkZTUifQ=="/>
  </w:docVars>
  <w:rsids>
    <w:rsidRoot w:val="6DF56671"/>
    <w:rsid w:val="00B75FCC"/>
    <w:rsid w:val="00DA0070"/>
    <w:rsid w:val="015E0632"/>
    <w:rsid w:val="020A2568"/>
    <w:rsid w:val="03200E71"/>
    <w:rsid w:val="03AE3AF3"/>
    <w:rsid w:val="082C6E2A"/>
    <w:rsid w:val="08E207EB"/>
    <w:rsid w:val="09DA16DE"/>
    <w:rsid w:val="0BD1446A"/>
    <w:rsid w:val="138A175B"/>
    <w:rsid w:val="13950513"/>
    <w:rsid w:val="14045069"/>
    <w:rsid w:val="16E82A20"/>
    <w:rsid w:val="175F3E8B"/>
    <w:rsid w:val="18A1732B"/>
    <w:rsid w:val="1D8D2573"/>
    <w:rsid w:val="1DB401C9"/>
    <w:rsid w:val="1F490C9B"/>
    <w:rsid w:val="1F692A03"/>
    <w:rsid w:val="1FDB75C6"/>
    <w:rsid w:val="219D27C6"/>
    <w:rsid w:val="21C35B51"/>
    <w:rsid w:val="22EC3898"/>
    <w:rsid w:val="2336693E"/>
    <w:rsid w:val="2382168B"/>
    <w:rsid w:val="238735C1"/>
    <w:rsid w:val="28F54576"/>
    <w:rsid w:val="292235E3"/>
    <w:rsid w:val="2ACB3B4E"/>
    <w:rsid w:val="2E852ACB"/>
    <w:rsid w:val="2F2A44BB"/>
    <w:rsid w:val="2F38010C"/>
    <w:rsid w:val="30711881"/>
    <w:rsid w:val="31B33D5A"/>
    <w:rsid w:val="31CF4AB1"/>
    <w:rsid w:val="32A40D9B"/>
    <w:rsid w:val="32F44918"/>
    <w:rsid w:val="33257612"/>
    <w:rsid w:val="33713745"/>
    <w:rsid w:val="34491996"/>
    <w:rsid w:val="35DC4ECA"/>
    <w:rsid w:val="374B64A5"/>
    <w:rsid w:val="37907394"/>
    <w:rsid w:val="37D56B99"/>
    <w:rsid w:val="38327B47"/>
    <w:rsid w:val="386D7247"/>
    <w:rsid w:val="39E767C9"/>
    <w:rsid w:val="39F03816"/>
    <w:rsid w:val="3B4E14F1"/>
    <w:rsid w:val="41381844"/>
    <w:rsid w:val="45BE2A1A"/>
    <w:rsid w:val="46482C3D"/>
    <w:rsid w:val="47B24801"/>
    <w:rsid w:val="47BF3644"/>
    <w:rsid w:val="49C925F9"/>
    <w:rsid w:val="4A6F7E85"/>
    <w:rsid w:val="4AC14605"/>
    <w:rsid w:val="4B563AE3"/>
    <w:rsid w:val="4CAD7097"/>
    <w:rsid w:val="4E872543"/>
    <w:rsid w:val="4F05790C"/>
    <w:rsid w:val="51917A46"/>
    <w:rsid w:val="527E5A0B"/>
    <w:rsid w:val="5285323E"/>
    <w:rsid w:val="52E350B6"/>
    <w:rsid w:val="55E925D5"/>
    <w:rsid w:val="5762688A"/>
    <w:rsid w:val="5A7233C4"/>
    <w:rsid w:val="5CE93CF9"/>
    <w:rsid w:val="5FC86D2B"/>
    <w:rsid w:val="61AC3E75"/>
    <w:rsid w:val="62474F80"/>
    <w:rsid w:val="671F1F16"/>
    <w:rsid w:val="68245DB2"/>
    <w:rsid w:val="6A677D92"/>
    <w:rsid w:val="6D3D76E2"/>
    <w:rsid w:val="6DF56671"/>
    <w:rsid w:val="72270CA2"/>
    <w:rsid w:val="72FA309F"/>
    <w:rsid w:val="76CC46E8"/>
    <w:rsid w:val="76E45ED5"/>
    <w:rsid w:val="77F8540E"/>
    <w:rsid w:val="78935F85"/>
    <w:rsid w:val="79A63514"/>
    <w:rsid w:val="79E101BA"/>
    <w:rsid w:val="7A937536"/>
    <w:rsid w:val="7B7941F0"/>
    <w:rsid w:val="7BDC717B"/>
    <w:rsid w:val="7D7A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autoRedefine/>
    <w:qFormat/>
    <w:uiPriority w:val="0"/>
    <w:rPr>
      <w:color w:val="0000FF"/>
      <w:u w:val="single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1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1715</Words>
  <Characters>10753</Characters>
  <Lines>1</Lines>
  <Paragraphs>1</Paragraphs>
  <TotalTime>2</TotalTime>
  <ScaleCrop>false</ScaleCrop>
  <LinksUpToDate>false</LinksUpToDate>
  <CharactersWithSpaces>12202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2019-02-25T07:42:00Z</dcterms:created>
  <dc:creator>南瓜</dc:creator>
  <cp:lastModifiedBy>南瓜</cp:lastModifiedBy>
  <dcterms:modified xsi:type="dcterms:W3CDTF">2026-05-26T03:31:48Z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2676837F1B2646B28BC398498E135321</vt:lpwstr>
  </property>
</Properties>
</file>