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F7356">
      <w:pPr>
        <w:spacing w:line="360" w:lineRule="auto"/>
        <w:jc w:val="left"/>
        <w:rPr>
          <w:rFonts w:hint="eastAsia" w:ascii="Arial" w:hAnsi="Arial" w:cs="Arial"/>
          <w:b/>
          <w:bCs/>
          <w:color w:val="404040" w:themeColor="text1" w:themeTint="BF"/>
          <w:sz w:val="28"/>
          <w:szCs w:val="2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b/>
          <w:bCs/>
          <w:color w:val="404040" w:themeColor="text1" w:themeTint="BF"/>
          <w:sz w:val="28"/>
          <w:szCs w:val="2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产品规格书</w:t>
      </w:r>
    </w:p>
    <w:p w14:paraId="6B38287F">
      <w:pPr>
        <w:spacing w:line="360" w:lineRule="auto"/>
        <w:jc w:val="left"/>
        <w:rPr>
          <w:rFonts w:hint="default" w:ascii="Arial" w:hAnsi="Arial" w:cs="Arial"/>
          <w:b/>
          <w:bCs/>
          <w:color w:val="0070C0"/>
          <w:sz w:val="48"/>
          <w:szCs w:val="48"/>
          <w:lang w:val="en-US" w:eastAsia="zh-CN"/>
        </w:rPr>
      </w:pPr>
      <w:r>
        <w:rPr>
          <w:rFonts w:hint="eastAsia" w:ascii="Arial" w:hAnsi="Arial" w:cs="Arial"/>
          <w:b/>
          <w:bCs/>
          <w:color w:val="0070C0"/>
          <w:sz w:val="48"/>
          <w:szCs w:val="48"/>
          <w:lang w:val="en-US" w:eastAsia="zh-CN"/>
        </w:rPr>
        <w:t>10口2.5G网管型交换机</w:t>
      </w:r>
      <w:bookmarkStart w:id="0" w:name="OLE_LINK1"/>
    </w:p>
    <w:bookmarkEnd w:id="0"/>
    <w:p w14:paraId="7E59F99E">
      <w:pPr>
        <w:spacing w:line="360" w:lineRule="auto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 w:ascii="Arial" w:hAnsi="Arial" w:cs="Arial"/>
          <w:b/>
          <w:bCs/>
          <w:color w:val="0070C0"/>
          <w:sz w:val="24"/>
          <w:szCs w:val="24"/>
          <w:lang w:val="en-US" w:eastAsia="zh-CN"/>
        </w:rPr>
        <w:t>ONV57108FM</w:t>
      </w:r>
    </w:p>
    <w:p w14:paraId="1BEA45B9">
      <w:pPr>
        <w:pStyle w:val="11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02555" cy="3129915"/>
            <wp:effectExtent l="0" t="0" r="0" b="0"/>
            <wp:docPr id="3" name="图片 3" descr="ONV-POE57108PFM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ONV-POE57108PFM (1)"/>
                    <pic:cNvPicPr>
                      <a:picLocks noChangeAspect="1"/>
                    </pic:cNvPicPr>
                  </pic:nvPicPr>
                  <pic:blipFill>
                    <a:blip r:embed="rId6"/>
                    <a:srcRect t="14020" b="12621"/>
                    <a:stretch>
                      <a:fillRect/>
                    </a:stretch>
                  </pic:blipFill>
                  <pic:spPr>
                    <a:xfrm>
                      <a:off x="0" y="0"/>
                      <a:ext cx="5202555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6F548">
      <w:pPr>
        <w:pStyle w:val="11"/>
        <w:bidi w:val="0"/>
        <w:rPr>
          <w:rFonts w:hint="default"/>
          <w:lang w:val="en-US" w:eastAsia="zh-CN"/>
        </w:rPr>
      </w:pPr>
    </w:p>
    <w:p w14:paraId="0748A7B7">
      <w:pPr>
        <w:spacing w:line="360" w:lineRule="auto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default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产品概述</w:t>
      </w:r>
    </w:p>
    <w:p w14:paraId="598FDB4A">
      <w:pPr>
        <w:pStyle w:val="11"/>
        <w:bidi w:val="0"/>
        <w:spacing w:line="360" w:lineRule="auto"/>
        <w:jc w:val="both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ONV57108FM是ONV自主研发的一款2.5G网管型光纤交换机。它拥有8个10/100/1000/2500Base-T自适应RJ45端口和2个1/10G SFP+光纤端口。ONV57108FM具备L3网管功能，支持IPv4/IPv6管理、动态路由转发、完善的安全防护机制、完整的ACL/QoS策略、丰富的VLAN功能，易于管理和维护。支持多种网络冗余协议，STP/RSTP/MSTP（&lt;50ms）和（ITU-T G.8032）ERPS，提升链路备份和网络可靠性。当单向网络故障时，可快速恢复通信，确保重要应用通信不中断。可根据实际应用需求，通过Web网管模式配置、端口流量控制、VLAN划分、SNMP等多种应用服务。</w:t>
      </w:r>
    </w:p>
    <w:p w14:paraId="7E6E738F">
      <w:pPr>
        <w:pStyle w:val="11"/>
        <w:bidi w:val="0"/>
        <w:rPr>
          <w:rFonts w:hint="default"/>
          <w:lang w:val="en-US" w:eastAsia="zh-CN"/>
        </w:rPr>
      </w:pPr>
    </w:p>
    <w:p w14:paraId="14FF807E">
      <w:pPr>
        <w:spacing w:line="360" w:lineRule="auto"/>
        <w:jc w:val="left"/>
        <w:rPr>
          <w:rFonts w:hint="default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产品特性</w:t>
      </w:r>
    </w:p>
    <w:p w14:paraId="3D9040AE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Arial" w:hAnsi="Arial" w:cs="Arial"/>
          <w:b/>
          <w:bCs w:val="0"/>
          <w:color w:val="0070C0"/>
          <w:sz w:val="21"/>
          <w:szCs w:val="21"/>
          <w:lang w:val="en-US" w:eastAsia="zh-CN"/>
        </w:rPr>
      </w:pPr>
      <w:bookmarkStart w:id="1" w:name="OLE_LINK4"/>
      <w:r>
        <w:rPr>
          <w:rFonts w:hint="eastAsia" w:ascii="Arial" w:hAnsi="Arial" w:cs="Arial"/>
          <w:b/>
          <w:bCs w:val="0"/>
          <w:color w:val="0070C0"/>
          <w:sz w:val="21"/>
          <w:szCs w:val="21"/>
          <w:lang w:val="en-US" w:eastAsia="zh-CN"/>
        </w:rPr>
        <w:t>2.5G接入，上联1/10G SFP+光纤端口</w:t>
      </w:r>
    </w:p>
    <w:p w14:paraId="032CA982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支持无阻塞线速转发。</w:t>
      </w:r>
    </w:p>
    <w:p w14:paraId="164C0C6E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支持基于IEEE 802.3x的全双工和基于背压的半双工。</w:t>
      </w:r>
    </w:p>
    <w:p w14:paraId="11935BCE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支持2.5G RJ45端口与1/10G SFP+光纤端口组合，用户可灵活组建网络，满足各种场景需求。</w:t>
      </w:r>
    </w:p>
    <w:bookmarkEnd w:id="1"/>
    <w:p w14:paraId="124D0E75">
      <w:pPr>
        <w:pStyle w:val="11"/>
        <w:bidi w:val="0"/>
        <w:rPr>
          <w:rFonts w:hint="eastAsia"/>
          <w:sz w:val="21"/>
          <w:szCs w:val="21"/>
          <w:lang w:eastAsia="zh-CN"/>
        </w:rPr>
      </w:pPr>
    </w:p>
    <w:p w14:paraId="165AE410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ascii="Arial" w:hAnsi="Arial" w:cs="Arial"/>
          <w:b/>
          <w:bCs/>
          <w:color w:val="0070C0"/>
          <w:sz w:val="21"/>
          <w:szCs w:val="21"/>
        </w:rPr>
        <w:t>强大的业务处理能力</w:t>
      </w:r>
    </w:p>
    <w:p w14:paraId="2E98EF94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支持ERPS环网和STP/RSTP/MSTP，消除二层环路，实现链路备份。</w:t>
      </w:r>
    </w:p>
    <w:p w14:paraId="21E62DC2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支持IEEE802.1Q VLAN，用户可根据需求灵活划分VLAN、Voice VLAN及QinQ配置。</w:t>
      </w:r>
    </w:p>
    <w:p w14:paraId="2F792264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支持静态和动态聚合，有效提升链路带宽，实现负载均衡、链路备份，提高链路可靠性。</w:t>
      </w:r>
    </w:p>
    <w:p w14:paraId="6DC2F476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支持QoS，基于端口、基于802.1P和基于DSCP三种优先级模式，以及Equ、SP、WRR、SP+WRR四种队列调度算法。</w:t>
      </w:r>
    </w:p>
    <w:p w14:paraId="615C9729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支持ACL，通过配置匹配规则处理动作和时间权限过滤数据包，提供灵活的安全访问控制策略。</w:t>
      </w:r>
    </w:p>
    <w:p w14:paraId="77DD163E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支持IGMP V1/V2/V3组播协议，IGMP Snooping满足多终端高清视频监控和视频会议接入需求。</w:t>
      </w:r>
    </w:p>
    <w:p w14:paraId="6A36D1EE">
      <w:pPr>
        <w:pStyle w:val="11"/>
        <w:bidi w:val="0"/>
        <w:rPr>
          <w:rFonts w:hint="eastAsia"/>
          <w:lang w:eastAsia="zh-CN"/>
        </w:rPr>
      </w:pPr>
    </w:p>
    <w:p w14:paraId="0DC7DD82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  <w:t>安全性</w:t>
      </w:r>
    </w:p>
    <w:p w14:paraId="31FD7DF7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支持IP+MAC+端口+VLAN四元绑定功能。</w:t>
      </w:r>
    </w:p>
    <w:p w14:paraId="54F3BA81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支持端口隔离和端口广播风暴抑制。</w:t>
      </w:r>
    </w:p>
    <w:p w14:paraId="3EE66C83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支持802.1X认证，为局域网计算机提供认证功能，并根据认证结果控制受控端口的授权状态。</w:t>
      </w:r>
    </w:p>
    <w:p w14:paraId="22F7250A">
      <w:pPr>
        <w:pStyle w:val="11"/>
        <w:bidi w:val="0"/>
        <w:rPr>
          <w:rFonts w:hint="eastAsia"/>
          <w:lang w:val="en-US" w:eastAsia="zh-CN"/>
        </w:rPr>
      </w:pPr>
    </w:p>
    <w:p w14:paraId="0807F194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  <w:t>稳定可靠</w:t>
      </w:r>
    </w:p>
    <w:p w14:paraId="14C404DC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CE、FCC、RoHS认证。</w:t>
      </w:r>
    </w:p>
    <w:p w14:paraId="032329EA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人性化面板可通过Link的LED指示灯显示设备状态。</w:t>
      </w:r>
    </w:p>
    <w:p w14:paraId="24928D42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采用自研电源，高冗余设计</w:t>
      </w:r>
    </w:p>
    <w:p w14:paraId="456BEF1A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低功耗，镀锌钢板外壳，散热优异，确保交换机稳定运行。</w:t>
      </w:r>
    </w:p>
    <w:p w14:paraId="4B83918A">
      <w:pPr>
        <w:pStyle w:val="11"/>
        <w:bidi w:val="0"/>
        <w:rPr>
          <w:rFonts w:hint="eastAsia"/>
          <w:lang w:val="en-US" w:eastAsia="zh-CN"/>
        </w:rPr>
      </w:pPr>
    </w:p>
    <w:p w14:paraId="21BC30D1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b/>
          <w:color w:val="0070C0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color w:val="0070C0"/>
          <w:sz w:val="21"/>
          <w:szCs w:val="21"/>
          <w:lang w:val="en-US" w:eastAsia="zh-CN"/>
        </w:rPr>
        <w:t>简易运维管理</w:t>
      </w:r>
    </w:p>
    <w:p w14:paraId="25E57005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支持CPU监控、内存监控和Ping检测。</w:t>
      </w:r>
    </w:p>
    <w:p w14:paraId="601D97FF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HTTPS、SSLV3、SSHV1/V2等加密方式，管理更安全。</w:t>
      </w:r>
    </w:p>
    <w:p w14:paraId="424C4286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系统日志和端口流量统计，便于网络优化和改造。</w:t>
      </w:r>
    </w:p>
    <w:p w14:paraId="2C6813B9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LLDP便于网管系统查询和判断链路通信状态。</w:t>
      </w:r>
    </w:p>
    <w:p w14:paraId="77E3B154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Web网管、CLI命令行（Console、Telnet）、SNMP（V1/V2/V3）、Telnet等多种管理维护方式。</w:t>
      </w:r>
    </w:p>
    <w:p w14:paraId="5FC80AC5">
      <w:pPr>
        <w:pStyle w:val="11"/>
        <w:bidi w:val="0"/>
        <w:rPr>
          <w:rFonts w:hint="eastAsia"/>
          <w:lang w:val="en-US" w:eastAsia="zh-CN"/>
        </w:rPr>
      </w:pPr>
    </w:p>
    <w:p w14:paraId="5A6B295E">
      <w:pPr>
        <w:spacing w:line="36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技术规格</w:t>
      </w:r>
    </w:p>
    <w:p w14:paraId="7A5C4A2D">
      <w:pPr>
        <w:pStyle w:val="11"/>
        <w:bidi w:val="0"/>
        <w:rPr>
          <w:rFonts w:hint="default"/>
          <w:lang w:val="en-US" w:eastAsia="zh-CN"/>
        </w:rPr>
      </w:pPr>
    </w:p>
    <w:tbl>
      <w:tblPr>
        <w:tblStyle w:val="7"/>
        <w:tblW w:w="8334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0"/>
        <w:gridCol w:w="6244"/>
      </w:tblGrid>
      <w:tr w14:paraId="7C2E8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 w14:paraId="453755F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eastAsia="zh-CN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1160DCC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ONV57108FM</w:t>
            </w:r>
          </w:p>
        </w:tc>
      </w:tr>
      <w:tr w14:paraId="4DD01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33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12D4C2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接口特性</w:t>
            </w:r>
          </w:p>
        </w:tc>
      </w:tr>
      <w:tr w14:paraId="0DA06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906A59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固定端口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504786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1个Console RS232端口（115200, N, 8, 1）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2个1/10G上联SFP+光纤端口（数据）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8个10/100/1000/2500Base-T 端口（数据）</w:t>
            </w:r>
          </w:p>
        </w:tc>
      </w:tr>
      <w:tr w14:paraId="43332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5D6FB5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以太网端口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BE7B83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端口1-8支持10/100/1000/2500Base-T(X)自动识别，全/半双工MDI/MDI-X自适应</w:t>
            </w:r>
          </w:p>
        </w:tc>
      </w:tr>
      <w:tr w14:paraId="710D5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DFC2AE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双绞线传输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E9E202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10BASE-T：Cat3/4/5 UTP（≤100米）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100BASE-TX：Cat5及以上UTP（≤100米）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1000BASE-T：Cat5e及以上UTP（≤100米）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2500BASE-T：Cat6a及以上UTP（≤100米）</w:t>
            </w:r>
          </w:p>
        </w:tc>
      </w:tr>
      <w:tr w14:paraId="2C4AB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150E3B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光纤端口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5D68E4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默认不含光模块（可选单模/多模、单纤/双纤光模块，LC接口）</w:t>
            </w:r>
          </w:p>
        </w:tc>
      </w:tr>
      <w:tr w14:paraId="4496B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9B0134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光纤端口扩展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658E83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Turbo超频2.5G光模块扩展及环网</w:t>
            </w:r>
          </w:p>
        </w:tc>
      </w:tr>
      <w:tr w14:paraId="1BF8D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C4D967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光缆/传输距离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C72C08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多模：850nm/0-550m，0-300m(10G)；单模：1310nm/0-40km，1550nm/0-120km</w:t>
            </w:r>
          </w:p>
        </w:tc>
      </w:tr>
      <w:tr w14:paraId="5BA51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33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1EBD45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芯片参数</w:t>
            </w:r>
          </w:p>
        </w:tc>
      </w:tr>
      <w:tr w14:paraId="0AA8C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379E90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网管类型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8FBDDF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L3</w:t>
            </w:r>
          </w:p>
        </w:tc>
      </w:tr>
      <w:tr w14:paraId="34495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99BF36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网络协议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A312F0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IEEE802.3 10BASE-T, IEEE802.3i 10Base-T, IEEE802.3u 100Base-TX, IEEE802.3ab 1000Base-T, IEEE802.3z 1000Base-X, IEEE802.3bz 2.5GBase-T, IEEE802.3ae 10GBase-SR/LR, IEEE802.3x</w:t>
            </w:r>
          </w:p>
        </w:tc>
      </w:tr>
      <w:tr w14:paraId="4333D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A31865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转发模式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7E7E3F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存储转发（全线速）</w:t>
            </w:r>
          </w:p>
        </w:tc>
      </w:tr>
      <w:tr w14:paraId="316B0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78D636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交换容量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B39CD1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240Gbps（无阻塞）</w:t>
            </w:r>
          </w:p>
        </w:tc>
      </w:tr>
      <w:tr w14:paraId="60D50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1B02B2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转发速率@64字节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53843B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59.52Mpps</w:t>
            </w:r>
          </w:p>
        </w:tc>
      </w:tr>
      <w:tr w14:paraId="329C3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2DF121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MAC地址表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F2FBDC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16K</w:t>
            </w:r>
          </w:p>
        </w:tc>
      </w:tr>
      <w:tr w14:paraId="6324B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ED545D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缓存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54316F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12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</w:t>
            </w:r>
          </w:p>
        </w:tc>
      </w:tr>
      <w:tr w14:paraId="4DC13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BC9F72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巨帧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5172EE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12K</w:t>
            </w:r>
          </w:p>
        </w:tc>
      </w:tr>
      <w:tr w14:paraId="40FFE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BE92B4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LED指示灯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574D72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网络：Link/Act（黄色），光纤端口：L/A（绿色），电源：PWR（黄色），系统：SYS（黄色）</w:t>
            </w:r>
          </w:p>
        </w:tc>
      </w:tr>
      <w:tr w14:paraId="3D765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12692C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复位开关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17B0BB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支持，长按开关10秒后松开恢复出厂设置</w:t>
            </w:r>
          </w:p>
        </w:tc>
      </w:tr>
      <w:tr w14:paraId="65F6A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33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0C199A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物理参数</w:t>
            </w:r>
          </w:p>
        </w:tc>
      </w:tr>
      <w:tr w14:paraId="1E181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6FB7CB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工作温度/湿度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49B69A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-20~+55°C，5%~90% RH非凝露</w:t>
            </w:r>
          </w:p>
        </w:tc>
      </w:tr>
      <w:tr w14:paraId="141AC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13F7CA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存储温度/湿度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EECC8A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-40~+75°C，5%~95% RH非凝露</w:t>
            </w:r>
          </w:p>
        </w:tc>
      </w:tr>
      <w:tr w14:paraId="7A31E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9DA3DF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尺寸（长×宽×高）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D66972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270×181×44.5mm</w:t>
            </w:r>
          </w:p>
        </w:tc>
      </w:tr>
      <w:tr w14:paraId="31BE1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46A07F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净重/毛重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D60CCF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1.35kg/1.85kg</w:t>
            </w:r>
          </w:p>
        </w:tc>
      </w:tr>
      <w:tr w14:paraId="404D3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C79D93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安装方式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BCBFDD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桌面式，1U/19英寸机柜</w:t>
            </w:r>
          </w:p>
        </w:tc>
      </w:tr>
      <w:tr w14:paraId="778B2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33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F3F8C8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认证与质保</w:t>
            </w:r>
          </w:p>
        </w:tc>
      </w:tr>
      <w:tr w14:paraId="5069B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B885BC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防雷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27D3EA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防护等级：IP30，防雷：6KV 8/20us</w:t>
            </w:r>
          </w:p>
        </w:tc>
      </w:tr>
      <w:tr w14:paraId="5872D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81EB5D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认证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0BB103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CE标志，商业级，CE/LVD EN62368-1，FCC Part 15，RoHS</w:t>
            </w:r>
          </w:p>
        </w:tc>
      </w:tr>
      <w:tr w14:paraId="4ECD2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9F6CFB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质保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DAA1B2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3年质保，终身维护。</w:t>
            </w:r>
          </w:p>
        </w:tc>
      </w:tr>
      <w:tr w14:paraId="0E8CA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33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130FE6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网管功能</w:t>
            </w:r>
          </w:p>
        </w:tc>
      </w:tr>
      <w:tr w14:paraId="5A9B3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410F54F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接口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D1CF9A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端口实时流量管理（流量间隔）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基于端口速率的广播风暴抑制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SFP光模块DDMI实时数字诊断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端口EEE绿色以太网节能配置及状态查看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IEEE802.3x流控（全双工），端口异常保护机制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限制入端口和出端口的数据包流量速率，最小粒度16Kbps，最大1Gbps</w:t>
            </w:r>
          </w:p>
        </w:tc>
      </w:tr>
      <w:tr w14:paraId="487DE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19EB7E0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三层功能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40D9F9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IPv4等价路由。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ARP协议，最大1000条。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NG协议，最大1000条。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Pingv6、Telnetv6、TFTPv6、DNSv6和ICMPv6。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IPv4/IPv6 VRRP，每种最大255组。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IPv4/IPv6 VLANIF接口，每种最大64个。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IPv4动态路由，RIPv1/v2和OSPFv2，2000条路由表项。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三层网管功能及IPv4/IPv6双栈管理。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IPv4/IPv6静态路由/默认路由，每种最大64条。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三层路由、转发及不同网段和VLAN之间的通信。</w:t>
            </w:r>
          </w:p>
        </w:tc>
      </w:tr>
      <w:tr w14:paraId="65A38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3AC5A1E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VLAN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CE0A61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基于协议的VLAN，基于MAC地址的VLAN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Voice VLAN，QinQ配置，GVRP VLAN协议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基于端口的VLAN（4K），IEEE 802.1q，Access、Trunk和Hybrid端口配置</w:t>
            </w:r>
          </w:p>
        </w:tc>
      </w:tr>
      <w:tr w14:paraId="6710C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1651EA4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端口聚合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02715F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LACP动态聚合，静态聚合，最多5个聚合组，每组最多5个端口。</w:t>
            </w:r>
          </w:p>
        </w:tc>
      </w:tr>
      <w:tr w14:paraId="3E94C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0342EDB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生成树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ED0B3D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STP BPDU保护、BPDU过滤和BPDU转发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STP（IEEE802.1d），RSTP（IEEE802.1w），MSTP（IEEE802.1s）</w:t>
            </w:r>
          </w:p>
        </w:tc>
      </w:tr>
      <w:tr w14:paraId="00A47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638BF81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ERPS环网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E60023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ERPS环网，恢复时间小于20ms，ITU-T G.8032</w:t>
            </w:r>
          </w:p>
        </w:tc>
      </w:tr>
      <w:tr w14:paraId="6564F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326596F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组播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19078B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组播VLAN，用户快速离开，MLD Snooping，MVR（组播VLAN注册），IGMP Snooping v1/v2/v3，最多1024个组播组</w:t>
            </w:r>
          </w:p>
        </w:tc>
      </w:tr>
      <w:tr w14:paraId="1DB7B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5916F16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镜像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29163A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基础端口双向流量镜像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一对多镜像，最多支持4个端口会话</w:t>
            </w:r>
          </w:p>
        </w:tc>
      </w:tr>
      <w:tr w14:paraId="21546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415ABF7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QoS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B5E4F4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基于流的速率限制，基于流的重定向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队列调度算法（SP、WRR、SP+WRR）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基于流的数据包过滤，每端口8个输出队列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802.1p/DSCP优先级映射，Diff-Serv QoS，优先级标记/重标记</w:t>
            </w:r>
          </w:p>
        </w:tc>
      </w:tr>
      <w:tr w14:paraId="3B067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3577930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ACL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0F1C79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基于端口和VLAN的ACL部署。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L2-L4数据包过滤，可匹配数据包前80字节，提供基于源MAC地址、目的MAC地址、源IP地址、目的IP地址、IP协议类型、TCP/UDP端口、TCP/UDP端口范围、VLAN等的ACL定义。</w:t>
            </w:r>
          </w:p>
        </w:tc>
      </w:tr>
      <w:tr w14:paraId="069DE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4FD595F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安全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BF9FBC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基于端口的IEEE802.1X认证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端口隔离，IP Source Guard功能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SSL保障数据传输安全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IP+MAC+VLAN+端口四元绑定功能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MAC地址学习限制，MAC地址黑洞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防DoS攻击，端口广播报文抑制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分级用户管理和密码保护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SSH 2.0为用户登录提供安全加密通道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主机数据备份机制，ARP入侵检测功能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IP源地址保护，ARP报文限速功能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支持AAA、RADIUS、TACACS+认证（仅支持认证，不支持授权和计费）</w:t>
            </w:r>
          </w:p>
        </w:tc>
      </w:tr>
      <w:tr w14:paraId="43C16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48C4CA7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DHCP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511821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DHCP客户端，DHCP Snooping，DHCP服务器</w:t>
            </w:r>
          </w:p>
        </w:tc>
      </w:tr>
      <w:tr w14:paraId="3C5BC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7B614D7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管理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E82BB4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系统工作日志，链路层发现协议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HTTP、TFTP文件上传下载管理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NTP时钟，线缆长度检测，SNMP V1/V2C/V3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Ping检测，Web网管（HTTPS）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ONV-NMS平台集群管理（LLDP+SNMP）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一键恢复，查看CPU实时利用率状态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Console/SSH/Telnet/CLI命令行配置</w:t>
            </w:r>
          </w:p>
        </w:tc>
      </w:tr>
      <w:tr w14:paraId="637DA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5398FF6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系统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6A37B6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Web浏览器：Google Chrome V42及以上，Mozilla Firefox 2.5及以上，Microsoft Internet Explorer 10及以上，五类及以上以太网网线。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每台联网计算机需安装TCP/IP、网卡和网络操作系统（如Microsoft Windows、Linux或Mac OS X），五类及以上以太网网线。</w:t>
            </w:r>
          </w:p>
        </w:tc>
      </w:tr>
    </w:tbl>
    <w:p w14:paraId="319A5E59">
      <w:pPr>
        <w:pStyle w:val="11"/>
        <w:bidi w:val="0"/>
        <w:rPr>
          <w:rFonts w:hint="eastAsia"/>
          <w:lang w:val="en-US" w:eastAsia="zh-CN"/>
        </w:rPr>
      </w:pPr>
    </w:p>
    <w:p w14:paraId="5D0BFE31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外观尺寸</w:t>
      </w:r>
    </w:p>
    <w:p w14:paraId="606039D7">
      <w:pPr>
        <w:pStyle w:val="11"/>
        <w:bidi w:val="0"/>
        <w:rPr>
          <w:rFonts w:hint="eastAsia"/>
          <w:lang w:val="en-US" w:eastAsia="zh-CN"/>
        </w:rPr>
      </w:pPr>
    </w:p>
    <w:p w14:paraId="5EA3ED5A">
      <w:pPr>
        <w:pStyle w:val="11"/>
        <w:bidi w:val="0"/>
        <w:rPr>
          <w:rFonts w:hint="eastAsia"/>
          <w:lang w:val="en-US" w:eastAsia="zh-CN"/>
        </w:rPr>
      </w:pPr>
    </w:p>
    <w:p w14:paraId="0F54A7DF">
      <w:pPr>
        <w:pStyle w:val="11"/>
        <w:bidi w:val="0"/>
        <w:rPr>
          <w:rFonts w:hint="eastAsia"/>
          <w:lang w:val="en-US" w:eastAsia="zh-CN"/>
        </w:rPr>
      </w:pPr>
    </w:p>
    <w:p w14:paraId="433FC7CF">
      <w:pPr>
        <w:pStyle w:val="11"/>
        <w:bidi w:val="0"/>
        <w:rPr>
          <w:rFonts w:hint="eastAsia"/>
          <w:lang w:val="en-US" w:eastAsia="zh-CN"/>
        </w:rPr>
      </w:pPr>
    </w:p>
    <w:p w14:paraId="123CF74A">
      <w:pPr>
        <w:pStyle w:val="11"/>
        <w:bidi w:val="0"/>
        <w:rPr>
          <w:rFonts w:hint="eastAsia"/>
          <w:lang w:val="en-US" w:eastAsia="zh-CN"/>
        </w:rPr>
      </w:pPr>
    </w:p>
    <w:p w14:paraId="4D52ED5A">
      <w:pPr>
        <w:pStyle w:val="11"/>
        <w:bidi w:val="0"/>
        <w:rPr>
          <w:rFonts w:hint="eastAsia"/>
          <w:lang w:val="en-US" w:eastAsia="zh-CN"/>
        </w:rPr>
      </w:pPr>
    </w:p>
    <w:p w14:paraId="0A67F62E">
      <w:pPr>
        <w:pStyle w:val="11"/>
        <w:bidi w:val="0"/>
        <w:rPr>
          <w:rFonts w:hint="eastAsia"/>
          <w:lang w:val="en-US" w:eastAsia="zh-CN"/>
        </w:rPr>
      </w:pPr>
    </w:p>
    <w:p w14:paraId="0D2A30C6">
      <w:pPr>
        <w:pStyle w:val="11"/>
        <w:bidi w:val="0"/>
        <w:rPr>
          <w:rFonts w:hint="eastAsia"/>
          <w:lang w:val="en-US" w:eastAsia="zh-CN"/>
        </w:rPr>
      </w:pPr>
    </w:p>
    <w:p w14:paraId="57EDF368">
      <w:pPr>
        <w:pStyle w:val="11"/>
        <w:bidi w:val="0"/>
        <w:rPr>
          <w:rFonts w:hint="eastAsia"/>
          <w:lang w:val="en-US" w:eastAsia="zh-CN"/>
        </w:rPr>
      </w:pPr>
    </w:p>
    <w:p w14:paraId="43D31FEC">
      <w:pPr>
        <w:pStyle w:val="11"/>
        <w:bidi w:val="0"/>
        <w:rPr>
          <w:rFonts w:hint="eastAsia"/>
          <w:lang w:val="en-US" w:eastAsia="zh-CN"/>
        </w:rPr>
      </w:pPr>
    </w:p>
    <w:p w14:paraId="76131BDB">
      <w:pPr>
        <w:pStyle w:val="11"/>
        <w:bidi w:val="0"/>
        <w:rPr>
          <w:rFonts w:hint="eastAsia"/>
          <w:lang w:val="en-US" w:eastAsia="zh-CN"/>
        </w:rPr>
      </w:pPr>
    </w:p>
    <w:p w14:paraId="2B4FCC16">
      <w:pPr>
        <w:pStyle w:val="11"/>
        <w:bidi w:val="0"/>
        <w:rPr>
          <w:rFonts w:hint="eastAsia"/>
          <w:lang w:val="en-US" w:eastAsia="zh-CN"/>
        </w:rPr>
      </w:pPr>
    </w:p>
    <w:p w14:paraId="39D1DABB">
      <w:pPr>
        <w:pStyle w:val="11"/>
        <w:bidi w:val="0"/>
        <w:rPr>
          <w:rFonts w:hint="eastAsia"/>
          <w:lang w:val="en-US" w:eastAsia="zh-CN"/>
        </w:rPr>
      </w:pPr>
    </w:p>
    <w:p w14:paraId="6B20ADCA">
      <w:pPr>
        <w:pStyle w:val="11"/>
        <w:bidi w:val="0"/>
        <w:rPr>
          <w:rFonts w:hint="eastAsia"/>
          <w:lang w:val="en-US" w:eastAsia="zh-CN"/>
        </w:rPr>
      </w:pPr>
    </w:p>
    <w:p w14:paraId="73B15A67">
      <w:pPr>
        <w:pStyle w:val="11"/>
        <w:bidi w:val="0"/>
        <w:rPr>
          <w:rFonts w:hint="eastAsia"/>
          <w:lang w:val="en-US" w:eastAsia="zh-CN"/>
        </w:rPr>
      </w:pPr>
    </w:p>
    <w:p w14:paraId="46B62FAB">
      <w:pPr>
        <w:pStyle w:val="11"/>
        <w:bidi w:val="0"/>
        <w:jc w:val="center"/>
        <w:rPr>
          <w:rFonts w:hint="eastAsia"/>
          <w:lang w:eastAsia="zh-CN"/>
        </w:rPr>
      </w:pPr>
    </w:p>
    <w:p w14:paraId="4D6655C6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应用场景</w:t>
      </w:r>
    </w:p>
    <w:p w14:paraId="3FD4F1FF">
      <w:pPr>
        <w:pStyle w:val="11"/>
        <w:bidi w:val="0"/>
        <w:rPr>
          <w:rFonts w:hint="eastAsia"/>
          <w:lang w:val="en-US" w:eastAsia="zh-CN"/>
        </w:rPr>
      </w:pPr>
    </w:p>
    <w:p w14:paraId="4C5E06FB">
      <w:pPr>
        <w:pStyle w:val="11"/>
        <w:bidi w:val="0"/>
        <w:rPr>
          <w:rFonts w:hint="eastAsia"/>
          <w:lang w:val="en-US" w:eastAsia="zh-CN"/>
        </w:rPr>
      </w:pPr>
    </w:p>
    <w:p w14:paraId="4CB8F514">
      <w:pPr>
        <w:pStyle w:val="11"/>
        <w:bidi w:val="0"/>
        <w:rPr>
          <w:rFonts w:hint="eastAsia"/>
          <w:lang w:val="en-US" w:eastAsia="zh-CN"/>
        </w:rPr>
      </w:pPr>
    </w:p>
    <w:p w14:paraId="4903657A">
      <w:pPr>
        <w:pStyle w:val="11"/>
        <w:bidi w:val="0"/>
        <w:rPr>
          <w:rFonts w:hint="eastAsia"/>
          <w:lang w:val="en-US" w:eastAsia="zh-CN"/>
        </w:rPr>
      </w:pPr>
    </w:p>
    <w:p w14:paraId="51F60077">
      <w:pPr>
        <w:pStyle w:val="11"/>
        <w:bidi w:val="0"/>
        <w:rPr>
          <w:rFonts w:hint="eastAsia"/>
          <w:lang w:val="en-US" w:eastAsia="zh-CN"/>
        </w:rPr>
      </w:pPr>
    </w:p>
    <w:p w14:paraId="660A21B2">
      <w:pPr>
        <w:pStyle w:val="11"/>
        <w:bidi w:val="0"/>
        <w:rPr>
          <w:rFonts w:hint="eastAsia"/>
          <w:lang w:val="en-US" w:eastAsia="zh-CN"/>
        </w:rPr>
      </w:pPr>
    </w:p>
    <w:p w14:paraId="66EF5639">
      <w:pPr>
        <w:pStyle w:val="11"/>
        <w:bidi w:val="0"/>
        <w:rPr>
          <w:rFonts w:hint="eastAsia"/>
          <w:lang w:val="en-US" w:eastAsia="zh-CN"/>
        </w:rPr>
      </w:pPr>
    </w:p>
    <w:p w14:paraId="08FC203F">
      <w:pPr>
        <w:pStyle w:val="11"/>
        <w:bidi w:val="0"/>
        <w:rPr>
          <w:rFonts w:hint="eastAsia"/>
          <w:lang w:val="en-US" w:eastAsia="zh-CN"/>
        </w:rPr>
      </w:pPr>
    </w:p>
    <w:p w14:paraId="69F53712">
      <w:pPr>
        <w:pStyle w:val="11"/>
        <w:bidi w:val="0"/>
        <w:rPr>
          <w:rFonts w:hint="eastAsia"/>
          <w:lang w:val="en-US" w:eastAsia="zh-CN"/>
        </w:rPr>
      </w:pPr>
    </w:p>
    <w:p w14:paraId="6303543B">
      <w:pPr>
        <w:pStyle w:val="11"/>
        <w:bidi w:val="0"/>
        <w:rPr>
          <w:rFonts w:hint="eastAsia"/>
          <w:lang w:val="en-US" w:eastAsia="zh-CN"/>
        </w:rPr>
      </w:pPr>
    </w:p>
    <w:p w14:paraId="60BE4875">
      <w:pPr>
        <w:pStyle w:val="11"/>
        <w:bidi w:val="0"/>
        <w:rPr>
          <w:rFonts w:hint="eastAsia"/>
          <w:lang w:val="en-US" w:eastAsia="zh-CN"/>
        </w:rPr>
      </w:pPr>
    </w:p>
    <w:p w14:paraId="1DA89B56">
      <w:pPr>
        <w:pStyle w:val="11"/>
        <w:bidi w:val="0"/>
        <w:rPr>
          <w:rFonts w:hint="eastAsia"/>
          <w:lang w:val="en-US" w:eastAsia="zh-CN"/>
        </w:rPr>
      </w:pPr>
    </w:p>
    <w:p w14:paraId="3BC46727">
      <w:pPr>
        <w:pStyle w:val="11"/>
        <w:bidi w:val="0"/>
        <w:rPr>
          <w:rFonts w:hint="eastAsia"/>
          <w:lang w:val="en-US" w:eastAsia="zh-CN"/>
        </w:rPr>
      </w:pPr>
    </w:p>
    <w:p w14:paraId="068B2C86">
      <w:pPr>
        <w:pStyle w:val="11"/>
        <w:bidi w:val="0"/>
        <w:rPr>
          <w:rFonts w:hint="eastAsia"/>
          <w:lang w:val="en-US" w:eastAsia="zh-CN"/>
        </w:rPr>
      </w:pPr>
    </w:p>
    <w:p w14:paraId="63B81E9B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订购信息</w:t>
      </w:r>
    </w:p>
    <w:p w14:paraId="39AEAB38">
      <w:pPr>
        <w:pStyle w:val="11"/>
        <w:bidi w:val="0"/>
        <w:rPr>
          <w:rFonts w:hint="eastAsia"/>
          <w:lang w:val="en-US" w:eastAsia="zh-CN"/>
        </w:rPr>
      </w:pPr>
    </w:p>
    <w:tbl>
      <w:tblPr>
        <w:tblStyle w:val="7"/>
        <w:tblW w:w="9405" w:type="dxa"/>
        <w:tblInd w:w="-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3"/>
        <w:gridCol w:w="5150"/>
        <w:gridCol w:w="1682"/>
      </w:tblGrid>
      <w:tr w14:paraId="3FF05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57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 w14:paraId="48B16B3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51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0741967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1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528A9DB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内置电源</w:t>
            </w:r>
          </w:p>
        </w:tc>
      </w:tr>
      <w:tr w14:paraId="42055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57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826698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ONV57108FM</w:t>
            </w:r>
          </w:p>
        </w:tc>
        <w:tc>
          <w:tcPr>
            <w:tcW w:w="51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AC241D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L3网管型交换机，8个10/100/1000/2500M RJ45端口和2个1/10G上联SFP+光纤端口。内置电源，1U/19英寸机柜安装。</w:t>
            </w:r>
          </w:p>
        </w:tc>
        <w:tc>
          <w:tcPr>
            <w:tcW w:w="1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49878C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3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0W</w:t>
            </w:r>
          </w:p>
        </w:tc>
      </w:tr>
      <w:tr w14:paraId="55B9A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5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8C0ABA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注：光模块不含，需另行购买。</w:t>
            </w:r>
          </w:p>
        </w:tc>
      </w:tr>
    </w:tbl>
    <w:p w14:paraId="16071310">
      <w:pPr>
        <w:pStyle w:val="11"/>
        <w:bidi w:val="0"/>
        <w:rPr>
          <w:rFonts w:hint="eastAsia"/>
          <w:lang w:val="en-US" w:eastAsia="zh-CN"/>
        </w:rPr>
      </w:pPr>
    </w:p>
    <w:p w14:paraId="640EA4BE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装箱清单</w:t>
      </w:r>
    </w:p>
    <w:p w14:paraId="30A700B7">
      <w:pPr>
        <w:pStyle w:val="11"/>
        <w:bidi w:val="0"/>
        <w:rPr>
          <w:rFonts w:hint="eastAsia"/>
          <w:lang w:val="en-US" w:eastAsia="zh-CN"/>
        </w:rPr>
      </w:pPr>
    </w:p>
    <w:tbl>
      <w:tblPr>
        <w:tblStyle w:val="6"/>
        <w:tblW w:w="9397" w:type="dxa"/>
        <w:tblInd w:w="-1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0"/>
        <w:gridCol w:w="5131"/>
        <w:gridCol w:w="795"/>
        <w:gridCol w:w="861"/>
      </w:tblGrid>
      <w:tr w14:paraId="58E8B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610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 w14:paraId="4F84A96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装箱清单</w:t>
            </w:r>
          </w:p>
        </w:tc>
        <w:tc>
          <w:tcPr>
            <w:tcW w:w="51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0D7213C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内容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7B8D2FE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数量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52C8FBA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</w:tr>
      <w:tr w14:paraId="60556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610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8098FF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51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6F3F7D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10口2.5G网管型交换机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5FC693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F92A88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套</w:t>
            </w:r>
          </w:p>
        </w:tc>
      </w:tr>
      <w:tr w14:paraId="27ADE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610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E738F9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51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5D0DDF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RJ45-DB9配置线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DF2973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B74DAF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2E3F9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610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086CC5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51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937C6E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交流电源线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A9568F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334185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4EB4C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610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337D65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51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5E956C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安装配件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B06206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69B57E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套</w:t>
            </w:r>
          </w:p>
        </w:tc>
      </w:tr>
      <w:tr w14:paraId="02592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610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819EC5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51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06C255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用户指南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481143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EA1EF2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3629A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610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17FE65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51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8F5985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保修卡及合格证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B6E948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504F32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</w:tbl>
    <w:p w14:paraId="2124DC85">
      <w:pPr>
        <w:pStyle w:val="11"/>
        <w:bidi w:val="0"/>
        <w:rPr>
          <w:rFonts w:hint="eastAsia"/>
          <w:lang w:val="en-US" w:eastAsia="zh-CN"/>
        </w:rPr>
      </w:pPr>
    </w:p>
    <w:p w14:paraId="020175AC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光模块</w:t>
      </w:r>
    </w:p>
    <w:tbl>
      <w:tblPr>
        <w:tblStyle w:val="6"/>
        <w:tblpPr w:leftFromText="180" w:rightFromText="180" w:vertAnchor="text" w:horzAnchor="page" w:tblpX="1580" w:tblpY="300"/>
        <w:tblOverlap w:val="never"/>
        <w:tblW w:w="94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485"/>
        <w:gridCol w:w="6438"/>
        <w:gridCol w:w="851"/>
      </w:tblGrid>
      <w:tr w14:paraId="1E3C6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 w14:paraId="7A7C459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产品</w:t>
            </w: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5745E77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277FDC0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520A326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</w:tr>
      <w:tr w14:paraId="7D0E4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2FCC31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1.25G光模块</w:t>
            </w: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B0DCA6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2630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C3963F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SFP，1.25G多模双纤850nm，550m，LC，DDM，可热插拔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FF9F79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5D75C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272AB7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C2D1AA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2632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C42E34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SFP，1.25G单模双纤1310nm，20km，LC，DDM，可热插拔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F89091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14919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AD1079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B401B9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2612-T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3F759D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SFP，1.25G单模单纤TX1310nm/RX1550nm，20km，LC，DDM，可热插拔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CB8DA9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46284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A0A2D8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D38466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2613-R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75E5A4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SFP，1.25G单模单纤TX1550nm/RX1310nm，20km，LC，DDM，可热插拔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602E75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6EF7E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13279A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DD3DC4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2612-T-SC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1A6B44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SFP，1.25G单模单纤TX1310nm/RX1550nm，20km，SC，DDM，可热插拔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AAEADC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7AF89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DE182C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0A80FF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2613-R-SC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1CF5D8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SFP，1.25G单模单纤TX1550nm/RX1310nm，20km，SC，DDM，可热插拔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DADADF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7011D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7DA5FB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电源模块</w:t>
            </w: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090BA9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2633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D64B98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SFP，1.25G转10/100/1000M RJ45端口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22F991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77E71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36F17A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10G光模块</w:t>
            </w:r>
          </w:p>
          <w:p w14:paraId="3789E11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5EBA14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6630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AAF43F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SFP+，10G多模双纤850nm，300m，LC，DDM，可热插拔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AED814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74893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E7DD90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55CFB7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7832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62B7DE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SFP+，10G单模双纤1310nm，20km，LC，DDM，可热插拔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250417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2637F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F7EB49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A909D1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7832-33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71F1CE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SFP+，10G单模单纤TX1330nm/RX1270nm，20km，LC，DDM，可热插拔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267079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3329F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1C6B59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F7E27A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7832-27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0D5677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SFP+，10G单模单纤TX1270nm/RX1330nm，20km，LC，DDM，可热插拔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C414AE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</w:tbl>
    <w:p w14:paraId="244CFCA3">
      <w:pPr>
        <w:pStyle w:val="11"/>
        <w:bidi w:val="0"/>
        <w:rPr>
          <w:rFonts w:hint="eastAsia"/>
          <w:lang w:val="en-US" w:eastAsia="zh-CN"/>
        </w:rPr>
      </w:pPr>
    </w:p>
    <w:p w14:paraId="069F7FC7">
      <w:pPr>
        <w:pStyle w:val="11"/>
        <w:bidi w:val="0"/>
        <w:rPr>
          <w:rFonts w:hint="default"/>
          <w:lang w:val="en-US" w:eastAsia="zh-CN"/>
        </w:rPr>
      </w:pPr>
    </w:p>
    <w:p w14:paraId="684E5C7E">
      <w:pPr>
        <w:spacing w:line="360" w:lineRule="auto"/>
        <w:jc w:val="left"/>
        <w:rPr>
          <w:rFonts w:hint="default" w:ascii="Arial" w:hAnsi="Arial" w:cs="Arial"/>
          <w:b/>
          <w:bCs/>
          <w:color w:val="538135"/>
          <w:sz w:val="32"/>
          <w:szCs w:val="32"/>
          <w:lang w:val="en-US" w:eastAsia="zh-CN"/>
        </w:rPr>
      </w:pPr>
      <w:r>
        <w:rPr>
          <w:rFonts w:hint="default" w:ascii="Arial" w:hAnsi="Arial" w:cs="Arial"/>
          <w:b/>
          <w:bCs/>
          <w:color w:val="538135"/>
          <w:sz w:val="32"/>
          <w:szCs w:val="32"/>
          <w:lang w:val="en-US" w:eastAsia="zh-CN"/>
        </w:rPr>
        <w:t>联系我们</w:t>
      </w:r>
    </w:p>
    <w:p w14:paraId="643887B5">
      <w:pPr>
        <w:spacing w:line="360" w:lineRule="auto"/>
        <w:jc w:val="left"/>
        <w:rPr>
          <w:rFonts w:hint="default" w:ascii="Arial" w:hAnsi="Arial" w:cs="Arial"/>
          <w:b/>
          <w:color w:val="404040" w:themeColor="text1" w:themeTint="BF"/>
          <w:sz w:val="21"/>
          <w:szCs w:val="21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eastAsia="微软雅黑" w:cs="Arial"/>
          <w:b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光网视科技（深圳）有限公司</w:t>
      </w:r>
    </w:p>
    <w:p w14:paraId="4DBE790A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电话：0086-755-33376606</w:t>
      </w:r>
    </w:p>
    <w:p w14:paraId="1AEB6348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传真：0086-755-33376608</w:t>
      </w:r>
    </w:p>
    <w:p w14:paraId="79B52F4D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微信：ONV-PoE-IoT</w:t>
      </w:r>
    </w:p>
    <w:p w14:paraId="649CC7DD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邮箱：onv@onv.com.cn</w:t>
      </w:r>
    </w:p>
    <w:p w14:paraId="420F646C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Skype：onv@onv.com.cn</w:t>
      </w:r>
    </w:p>
    <w:p w14:paraId="73799EFE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Teams：onv@onv.com.cn</w:t>
      </w:r>
      <w:bookmarkStart w:id="2" w:name="_GoBack"/>
      <w:bookmarkEnd w:id="2"/>
    </w:p>
    <w:p w14:paraId="2CB3E3AB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官网：www.onvcom.com</w:t>
      </w:r>
    </w:p>
    <w:p w14:paraId="760E0A78">
      <w:pPr>
        <w:spacing w:line="360" w:lineRule="auto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总部地址：深圳市福田区Terra大厦D座1003室</w:t>
      </w:r>
    </w:p>
    <w:p w14:paraId="13111495">
      <w:pPr>
        <w:spacing w:line="360" w:lineRule="auto"/>
        <w:jc w:val="left"/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工厂地址：惠州市仲恺高新区陈江街道仲恺六路333号银河人工智能产业园B3栋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85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79D6C">
    <w:pP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pPr>
    <w:r>
      <w:rPr>
        <w:rFonts w:hint="default" w:ascii="Arial" w:hAnsi="Arial" w:cs="Arial"/>
        <w:b/>
        <w:bCs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47625</wp:posOffset>
              </wp:positionH>
              <wp:positionV relativeFrom="paragraph">
                <wp:posOffset>19050</wp:posOffset>
              </wp:positionV>
              <wp:extent cx="235585" cy="202565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5585" cy="2025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178DCE">
                          <w:pPr>
                            <w:pStyle w:val="11"/>
                            <w:bidi w:val="0"/>
                            <w:spacing w:line="360" w:lineRule="auto"/>
                            <w:jc w:val="center"/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.75pt;margin-top:1.5pt;height:15.95pt;width:18.55pt;mso-position-horizontal-relative:margin;z-index:251660288;mso-width-relative:page;mso-height-relative:page;" filled="f" stroked="f" coordsize="21600,21600" o:gfxdata="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Le5BxPUAAAABQEAAA8AAAAAAAAAAQAgAAAAIgAAAGRycy9kb3ducmV2Lnht&#10;bFBLAQIUABQAAAAIAIdO4kCpS4fPNgIAAGMEAAAOAAAAAAAAAAEAIAAAACM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6178DCE">
                    <w:pPr>
                      <w:pStyle w:val="11"/>
                      <w:bidi w:val="0"/>
                      <w:spacing w:line="360" w:lineRule="auto"/>
                      <w:jc w:val="center"/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</w:pP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t>1</w:t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 xml:space="preserve">                        </w:t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ab/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ab/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ab/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ab/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ab/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ab/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ab/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ab/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 xml:space="preserve">        </w:t>
    </w:r>
    <w:r>
      <w:rPr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begin"/>
    </w:r>
    <w:r>
      <w:rPr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instrText xml:space="preserve"> HYPERLINK "http://www.onv.com.cn" </w:instrText>
    </w:r>
    <w:r>
      <w:rPr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separate"/>
    </w:r>
    <w:r>
      <w:rPr>
        <w:rStyle w:val="9"/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h</w:t>
    </w:r>
    <w:r>
      <w:rPr>
        <w:rStyle w:val="9"/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ttp://www.</w:t>
    </w:r>
    <w:r>
      <w:rPr>
        <w:rStyle w:val="9"/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onv.com</w:t>
    </w:r>
    <w:r>
      <w:rPr>
        <w:rStyle w:val="9"/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.cn</w:t>
    </w:r>
    <w:r>
      <w:rPr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end"/>
    </w:r>
  </w:p>
  <w:p w14:paraId="5BFE65E0">
    <w:pPr>
      <w:ind w:left="5880" w:leftChars="0" w:firstLine="420" w:firstLineChars="0"/>
      <w:rPr>
        <w:rFonts w:hint="eastAsia" w:ascii="Arial" w:hAnsi="Arial" w:cs="Arial" w:eastAsiaTheme="minorEastAsia"/>
        <w:color w:val="808080" w:themeColor="text1" w:themeTint="80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pPr>
    <w:r>
      <w:rPr>
        <w:rFonts w:hint="eastAsia" w:ascii="Arial" w:hAnsi="Arial" w:cs="Arial"/>
        <w:color w:val="808080" w:themeColor="text1" w:themeTint="80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+86 0755 33376606</w:t>
    </w:r>
  </w:p>
  <w:p w14:paraId="6B0AF406">
    <w:pPr>
      <w:pStyle w:val="11"/>
      <w:bidi w:val="0"/>
      <w:spacing w:line="360" w:lineRule="auto"/>
      <w:jc w:val="center"/>
      <w:rPr>
        <w:rFonts w:hint="default" w:ascii="Arial" w:hAnsi="Arial" w:cs="Arial"/>
        <w:b/>
        <w:bCs/>
        <w:sz w:val="18"/>
        <w:szCs w:val="18"/>
        <w:lang w:val="en-US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A387E">
    <w:pPr>
      <w:pStyle w:val="3"/>
    </w:pPr>
    <w:r>
      <w:rPr>
        <w:rFonts w:hint="eastAsi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4811395</wp:posOffset>
          </wp:positionH>
          <wp:positionV relativeFrom="paragraph">
            <wp:posOffset>-90805</wp:posOffset>
          </wp:positionV>
          <wp:extent cx="1047750" cy="400050"/>
          <wp:effectExtent l="0" t="0" r="3810" b="1143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59264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  <w:r>
      <w:rPr>
        <w:rFonts w:hint="eastAsia"/>
        <w:lang w:val="en-US" w:eastAsia="zh-CN"/>
      </w:rPr>
      <w:t>`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hYmZlNTI1Yzk4YTBlMjRhOGIzNmU5ZTkyZWZkZTUifQ=="/>
  </w:docVars>
  <w:rsids>
    <w:rsidRoot w:val="6DF56671"/>
    <w:rsid w:val="00B75FCC"/>
    <w:rsid w:val="00DA0070"/>
    <w:rsid w:val="01105819"/>
    <w:rsid w:val="015E0632"/>
    <w:rsid w:val="020A2568"/>
    <w:rsid w:val="03200E71"/>
    <w:rsid w:val="03AE3AF3"/>
    <w:rsid w:val="082C6E2A"/>
    <w:rsid w:val="08E207EB"/>
    <w:rsid w:val="09190AA2"/>
    <w:rsid w:val="09DA16DE"/>
    <w:rsid w:val="0BD1446A"/>
    <w:rsid w:val="0C6316DF"/>
    <w:rsid w:val="138A175B"/>
    <w:rsid w:val="13950513"/>
    <w:rsid w:val="14045069"/>
    <w:rsid w:val="16E82A20"/>
    <w:rsid w:val="175F3E8B"/>
    <w:rsid w:val="18A1732B"/>
    <w:rsid w:val="18B36745"/>
    <w:rsid w:val="1D8D2573"/>
    <w:rsid w:val="1DB401C9"/>
    <w:rsid w:val="1F490C9B"/>
    <w:rsid w:val="1F692A03"/>
    <w:rsid w:val="1FDB75C6"/>
    <w:rsid w:val="219D27C6"/>
    <w:rsid w:val="21C35B51"/>
    <w:rsid w:val="22EC3898"/>
    <w:rsid w:val="2336693E"/>
    <w:rsid w:val="2382168B"/>
    <w:rsid w:val="238735C1"/>
    <w:rsid w:val="24F1163A"/>
    <w:rsid w:val="28F54576"/>
    <w:rsid w:val="292235E3"/>
    <w:rsid w:val="2ACB3B4E"/>
    <w:rsid w:val="2E852ACB"/>
    <w:rsid w:val="2F2A44BB"/>
    <w:rsid w:val="2F38010C"/>
    <w:rsid w:val="30711881"/>
    <w:rsid w:val="31B33D5A"/>
    <w:rsid w:val="31CF4AB1"/>
    <w:rsid w:val="32A40D9B"/>
    <w:rsid w:val="32F44918"/>
    <w:rsid w:val="33257612"/>
    <w:rsid w:val="33713745"/>
    <w:rsid w:val="34491996"/>
    <w:rsid w:val="35DC4ECA"/>
    <w:rsid w:val="374B64A5"/>
    <w:rsid w:val="37907394"/>
    <w:rsid w:val="37D56B99"/>
    <w:rsid w:val="38327B47"/>
    <w:rsid w:val="386D7247"/>
    <w:rsid w:val="39E767C9"/>
    <w:rsid w:val="39F03816"/>
    <w:rsid w:val="3B4E14F1"/>
    <w:rsid w:val="41381844"/>
    <w:rsid w:val="45BE2A1A"/>
    <w:rsid w:val="46482C3D"/>
    <w:rsid w:val="47B24801"/>
    <w:rsid w:val="47BF3644"/>
    <w:rsid w:val="49C925F9"/>
    <w:rsid w:val="4A6F7E85"/>
    <w:rsid w:val="4AC14605"/>
    <w:rsid w:val="4B563AE3"/>
    <w:rsid w:val="4CAD7097"/>
    <w:rsid w:val="4E872543"/>
    <w:rsid w:val="4F05790C"/>
    <w:rsid w:val="51917A46"/>
    <w:rsid w:val="527E5A0B"/>
    <w:rsid w:val="5285323E"/>
    <w:rsid w:val="52E350B6"/>
    <w:rsid w:val="55E925D5"/>
    <w:rsid w:val="5762688A"/>
    <w:rsid w:val="5A7233C4"/>
    <w:rsid w:val="5CE93CF9"/>
    <w:rsid w:val="5F4E47AC"/>
    <w:rsid w:val="5FC86D2B"/>
    <w:rsid w:val="61AC3E75"/>
    <w:rsid w:val="62474F80"/>
    <w:rsid w:val="671F1F16"/>
    <w:rsid w:val="68245DB2"/>
    <w:rsid w:val="6A677D92"/>
    <w:rsid w:val="6D3D76E2"/>
    <w:rsid w:val="6DF56671"/>
    <w:rsid w:val="72270CA2"/>
    <w:rsid w:val="72FA309F"/>
    <w:rsid w:val="76CC46E8"/>
    <w:rsid w:val="76E45ED5"/>
    <w:rsid w:val="77F8540E"/>
    <w:rsid w:val="78935F85"/>
    <w:rsid w:val="79A63514"/>
    <w:rsid w:val="79E101BA"/>
    <w:rsid w:val="7A937536"/>
    <w:rsid w:val="7AA2273F"/>
    <w:rsid w:val="7B7941F0"/>
    <w:rsid w:val="7BDC717B"/>
    <w:rsid w:val="7D7A601B"/>
    <w:rsid w:val="7E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2916</Words>
  <Characters>4986</Characters>
  <Lines>1</Lines>
  <Paragraphs>1</Paragraphs>
  <TotalTime>8</TotalTime>
  <ScaleCrop>false</ScaleCrop>
  <LinksUpToDate>false</LinksUpToDate>
  <CharactersWithSpaces>5059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2019-02-25T07:42:00Z</dcterms:created>
  <dc:creator>南瓜</dc:creator>
  <cp:lastModifiedBy>WPS_1773891042</cp:lastModifiedBy>
  <dcterms:modified xsi:type="dcterms:W3CDTF">2026-08-17T06:30:20Z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2676837F1B2646B28BC398498E135321</vt:lpwstr>
  </property>
  <property fmtid="{D5CDD505-2E9C-101B-9397-08002B2CF9AE}" pid="4" name="KSOTemplateDocerSaveRecord">
    <vt:lpwstr>eyJoZGlkIjoiMDljYTA0ODM1OTE1ZmRlMjZmMWU1OWYwMjViNmNkNmEiLCJ1c2VySWQiOiIxODEzMzQ1MjEzIn0=</vt:lpwstr>
  </property>
</Properties>
</file>